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7A43" w14:textId="2C95FE15" w:rsidR="00F20B81" w:rsidRPr="0099371F" w:rsidRDefault="00800328" w:rsidP="008003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14143D3" w14:textId="5A7C2B01" w:rsidR="00800328" w:rsidRPr="0099371F" w:rsidRDefault="00800328" w:rsidP="008003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do – Hạnh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688AA951" w14:textId="3190E2FF" w:rsidR="00800328" w:rsidRPr="0099371F" w:rsidRDefault="00800328" w:rsidP="00800328">
      <w:pPr>
        <w:jc w:val="center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>---***---</w:t>
      </w:r>
    </w:p>
    <w:p w14:paraId="1E6113B3" w14:textId="0A02EA14" w:rsidR="00800328" w:rsidRPr="0099371F" w:rsidRDefault="00800328" w:rsidP="00800328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Hà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7304B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7304B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76D86" w:rsidRPr="0099371F">
        <w:rPr>
          <w:rFonts w:ascii="Times New Roman" w:hAnsi="Times New Roman" w:cs="Times New Roman"/>
          <w:i/>
          <w:iCs/>
          <w:sz w:val="26"/>
          <w:szCs w:val="26"/>
        </w:rPr>
        <w:t>202</w:t>
      </w:r>
      <w:r w:rsidR="00476D86">
        <w:rPr>
          <w:rFonts w:ascii="Times New Roman" w:hAnsi="Times New Roman" w:cs="Times New Roman"/>
          <w:i/>
          <w:iCs/>
          <w:sz w:val="26"/>
          <w:szCs w:val="26"/>
        </w:rPr>
        <w:t>5</w:t>
      </w:r>
    </w:p>
    <w:p w14:paraId="5C56CD7F" w14:textId="77777777" w:rsidR="00800328" w:rsidRPr="0099371F" w:rsidRDefault="00800328" w:rsidP="008003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732AFB" w14:textId="3EE3CD89" w:rsidR="00800328" w:rsidRPr="0099371F" w:rsidRDefault="00800328" w:rsidP="008003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BÁO CÁO HOẠT ĐỘNG </w:t>
      </w:r>
      <w:r w:rsidR="000F5E53">
        <w:rPr>
          <w:rFonts w:ascii="Times New Roman" w:hAnsi="Times New Roman" w:cs="Times New Roman"/>
          <w:b/>
          <w:bCs/>
          <w:sz w:val="26"/>
          <w:szCs w:val="26"/>
          <w:lang w:val="vi-VN"/>
        </w:rPr>
        <w:t>CỦA</w:t>
      </w:r>
      <w:r w:rsidR="004256B4"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ỦY BAN KIỂM TOÁN NĂM </w:t>
      </w:r>
      <w:r w:rsidR="00111FF9" w:rsidRPr="0099371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111FF9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652FB00C" w14:textId="77777777" w:rsidR="00800328" w:rsidRPr="0099371F" w:rsidRDefault="00800328" w:rsidP="0080032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2CA4192" w14:textId="462F83B7" w:rsidR="00800328" w:rsidRPr="0099371F" w:rsidRDefault="00800328" w:rsidP="00800328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Kính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thưa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quý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đông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đoàn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9371F" w:rsidRPr="0099371F">
        <w:rPr>
          <w:rFonts w:ascii="Times New Roman" w:hAnsi="Times New Roman" w:cs="Times New Roman"/>
          <w:b/>
          <w:bCs/>
          <w:sz w:val="26"/>
          <w:szCs w:val="26"/>
        </w:rPr>
        <w:t>HIPT</w:t>
      </w:r>
    </w:p>
    <w:p w14:paraId="07966068" w14:textId="157C80F4" w:rsidR="00800328" w:rsidRPr="0099371F" w:rsidRDefault="00800328" w:rsidP="00800328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Căn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cứ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</w:p>
    <w:p w14:paraId="646BD13A" w14:textId="712A22FA" w:rsidR="00800328" w:rsidRPr="0099371F" w:rsidRDefault="00800328" w:rsidP="008003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lệ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phần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đoàn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HiPT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(Công ty</w:t>
      </w:r>
      <w:proofErr w:type="gram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);</w:t>
      </w:r>
      <w:proofErr w:type="gramEnd"/>
    </w:p>
    <w:p w14:paraId="788CC063" w14:textId="0195FE70" w:rsidR="00800328" w:rsidRPr="0099371F" w:rsidRDefault="00800328" w:rsidP="008003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Quy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chế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>Ủy</w:t>
      </w:r>
      <w:proofErr w:type="spellEnd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ban </w:t>
      </w:r>
      <w:proofErr w:type="spellStart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>toán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phần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đoàn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HiPT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>;</w:t>
      </w:r>
      <w:proofErr w:type="gramEnd"/>
    </w:p>
    <w:p w14:paraId="19FA3457" w14:textId="0F033CD5" w:rsidR="00800328" w:rsidRPr="0099371F" w:rsidRDefault="00800328" w:rsidP="008003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Báo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tài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phần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đoàn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HiPT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toán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bởi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10327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Công ty TNHH </w:t>
      </w:r>
      <w:proofErr w:type="spellStart"/>
      <w:r w:rsidR="00310327" w:rsidRPr="0099371F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="00310327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310327" w:rsidRPr="0099371F">
        <w:rPr>
          <w:rFonts w:ascii="Times New Roman" w:hAnsi="Times New Roman" w:cs="Times New Roman"/>
          <w:i/>
          <w:iCs/>
          <w:sz w:val="26"/>
          <w:szCs w:val="26"/>
        </w:rPr>
        <w:t>toán</w:t>
      </w:r>
      <w:proofErr w:type="spellEnd"/>
      <w:r w:rsidR="00310327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AFC Việt Nam – Chi </w:t>
      </w:r>
      <w:proofErr w:type="spellStart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>nhánh</w:t>
      </w:r>
      <w:proofErr w:type="spellEnd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>phía</w:t>
      </w:r>
      <w:proofErr w:type="spellEnd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="00954C7D" w:rsidRPr="0099371F">
        <w:rPr>
          <w:rFonts w:ascii="Times New Roman" w:hAnsi="Times New Roman" w:cs="Times New Roman"/>
          <w:i/>
          <w:iCs/>
          <w:sz w:val="26"/>
          <w:szCs w:val="26"/>
        </w:rPr>
        <w:t>Bắc</w:t>
      </w:r>
      <w:r w:rsidRPr="0099371F">
        <w:rPr>
          <w:rFonts w:ascii="Times New Roman" w:hAnsi="Times New Roman" w:cs="Times New Roman"/>
          <w:i/>
          <w:iCs/>
          <w:sz w:val="26"/>
          <w:szCs w:val="26"/>
        </w:rPr>
        <w:t>;</w:t>
      </w:r>
      <w:proofErr w:type="gramEnd"/>
    </w:p>
    <w:p w14:paraId="3F6E3D0B" w14:textId="77777777" w:rsidR="004256B4" w:rsidRPr="0099371F" w:rsidRDefault="004256B4" w:rsidP="0080032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372F57" w14:textId="1534EEAC" w:rsidR="00800328" w:rsidRPr="0099371F" w:rsidRDefault="00954C7D" w:rsidP="0080032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(</w:t>
      </w:r>
      <w:r w:rsidRPr="0099371F">
        <w:rPr>
          <w:rFonts w:ascii="Times New Roman" w:hAnsi="Times New Roman" w:cs="Times New Roman"/>
          <w:sz w:val="26"/>
          <w:szCs w:val="26"/>
        </w:rPr>
        <w:t>UBKT</w:t>
      </w:r>
      <w:r w:rsidR="00800328" w:rsidRPr="0099371F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111FF9" w:rsidRPr="0099371F">
        <w:rPr>
          <w:rFonts w:ascii="Times New Roman" w:hAnsi="Times New Roman" w:cs="Times New Roman"/>
          <w:sz w:val="26"/>
          <w:szCs w:val="26"/>
        </w:rPr>
        <w:t>202</w:t>
      </w:r>
      <w:r w:rsidR="00111FF9">
        <w:rPr>
          <w:rFonts w:ascii="Times New Roman" w:hAnsi="Times New Roman" w:cs="Times New Roman"/>
          <w:sz w:val="26"/>
          <w:szCs w:val="26"/>
        </w:rPr>
        <w:t>5</w:t>
      </w:r>
      <w:r w:rsidR="00111FF9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111FF9" w:rsidRPr="0099371F">
        <w:rPr>
          <w:rFonts w:ascii="Times New Roman" w:hAnsi="Times New Roman" w:cs="Times New Roman"/>
          <w:sz w:val="26"/>
          <w:szCs w:val="26"/>
        </w:rPr>
        <w:t>202</w:t>
      </w:r>
      <w:r w:rsidR="00111FF9">
        <w:rPr>
          <w:rFonts w:ascii="Times New Roman" w:hAnsi="Times New Roman" w:cs="Times New Roman"/>
          <w:sz w:val="26"/>
          <w:szCs w:val="26"/>
        </w:rPr>
        <w:t>4</w:t>
      </w:r>
      <w:r w:rsidR="00111FF9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>:</w:t>
      </w:r>
    </w:p>
    <w:p w14:paraId="64FA8182" w14:textId="2F5A161A" w:rsidR="00800328" w:rsidRDefault="00800328" w:rsidP="004256B4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300" w:lineRule="exact"/>
        <w:ind w:hanging="10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4C7D" w:rsidRPr="0099371F">
        <w:rPr>
          <w:rFonts w:ascii="Times New Roman" w:hAnsi="Times New Roman" w:cs="Times New Roman"/>
          <w:b/>
          <w:bCs/>
          <w:sz w:val="26"/>
          <w:szCs w:val="26"/>
        </w:rPr>
        <w:t>UBKT</w:t>
      </w:r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145D" w:rsidRPr="0099371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0145D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0A6578B7" w14:textId="77777777" w:rsidR="00476D86" w:rsidRPr="0099371F" w:rsidRDefault="00476D86" w:rsidP="001871F8">
      <w:pPr>
        <w:pStyle w:val="ListParagraph"/>
        <w:tabs>
          <w:tab w:val="left" w:pos="360"/>
        </w:tabs>
        <w:spacing w:before="120" w:after="120" w:line="300" w:lineRule="exact"/>
        <w:ind w:left="10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14CDE2" w14:textId="7EAF5CA2" w:rsidR="00800328" w:rsidRDefault="006C3B15" w:rsidP="00800328">
      <w:pPr>
        <w:pStyle w:val="ListParagraph"/>
        <w:spacing w:before="120" w:after="120" w:line="30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Thông tin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UBKT</w:t>
      </w:r>
      <w:r w:rsidR="00800328" w:rsidRPr="0099371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234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46"/>
        <w:gridCol w:w="1922"/>
        <w:gridCol w:w="2445"/>
        <w:gridCol w:w="1566"/>
      </w:tblGrid>
      <w:tr w:rsidR="003772A2" w:rsidRPr="003772A2" w14:paraId="28210BC9" w14:textId="77777777" w:rsidTr="00745C16">
        <w:trPr>
          <w:trHeight w:val="317"/>
        </w:trPr>
        <w:tc>
          <w:tcPr>
            <w:tcW w:w="362" w:type="pct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EBCAE3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607" w:type="pct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D335F8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viên</w:t>
            </w:r>
            <w:proofErr w:type="spellEnd"/>
          </w:p>
          <w:p w14:paraId="41CA13DB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Ủy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982" w:type="pct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688B36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Chức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249" w:type="pct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B13C9B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bắt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đầu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không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còn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là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thành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viên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UBKT</w:t>
            </w:r>
          </w:p>
        </w:tc>
        <w:tc>
          <w:tcPr>
            <w:tcW w:w="801" w:type="pct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6EE3AC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chuyên</w:t>
            </w:r>
            <w:proofErr w:type="spellEnd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môn</w:t>
            </w:r>
            <w:proofErr w:type="spellEnd"/>
          </w:p>
        </w:tc>
      </w:tr>
      <w:tr w:rsidR="003772A2" w:rsidRPr="003772A2" w14:paraId="6EA0189A" w14:textId="77777777" w:rsidTr="00745C16">
        <w:tc>
          <w:tcPr>
            <w:tcW w:w="3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844E77" w14:textId="2E0EB472" w:rsidR="003772A2" w:rsidRPr="003772A2" w:rsidRDefault="004C511D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C2E97F" w14:textId="77777777" w:rsidR="003772A2" w:rsidRPr="003772A2" w:rsidRDefault="003772A2" w:rsidP="00FB39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377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Đặng Hoàng Giang</w:t>
            </w:r>
          </w:p>
        </w:tc>
        <w:tc>
          <w:tcPr>
            <w:tcW w:w="98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8484CD" w14:textId="77777777" w:rsidR="003772A2" w:rsidRPr="003772A2" w:rsidRDefault="003772A2" w:rsidP="00FB39E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 xml:space="preserve"> Viên</w:t>
            </w:r>
          </w:p>
        </w:tc>
        <w:tc>
          <w:tcPr>
            <w:tcW w:w="1249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E79A3E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7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23/05/2022</w:t>
            </w:r>
          </w:p>
        </w:tc>
        <w:tc>
          <w:tcPr>
            <w:tcW w:w="80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151A56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Thạc</w:t>
            </w:r>
            <w:proofErr w:type="spellEnd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sỹ</w:t>
            </w:r>
            <w:proofErr w:type="spellEnd"/>
          </w:p>
        </w:tc>
      </w:tr>
      <w:tr w:rsidR="003772A2" w:rsidRPr="003772A2" w14:paraId="229231B3" w14:textId="77777777" w:rsidTr="00745C16">
        <w:tc>
          <w:tcPr>
            <w:tcW w:w="3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DCB11A" w14:textId="052D3A75" w:rsidR="003772A2" w:rsidRPr="003772A2" w:rsidRDefault="004C511D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82EE50" w14:textId="77777777" w:rsidR="003772A2" w:rsidRPr="003772A2" w:rsidRDefault="003772A2" w:rsidP="00FB39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  <w:r w:rsidRPr="00377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Đặng Thị Ngọc </w:t>
            </w:r>
            <w:proofErr w:type="spellStart"/>
            <w:r w:rsidRPr="00377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Trâm</w:t>
            </w:r>
            <w:proofErr w:type="spellEnd"/>
          </w:p>
        </w:tc>
        <w:tc>
          <w:tcPr>
            <w:tcW w:w="98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FD51ED" w14:textId="77777777" w:rsidR="003772A2" w:rsidRPr="003772A2" w:rsidRDefault="003772A2" w:rsidP="00FB39E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249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3CA2EC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7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29/06/2023</w:t>
            </w:r>
          </w:p>
        </w:tc>
        <w:tc>
          <w:tcPr>
            <w:tcW w:w="80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432FEB" w14:textId="77777777" w:rsidR="003772A2" w:rsidRPr="003772A2" w:rsidRDefault="003772A2" w:rsidP="00874F7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72A2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</w:tr>
    </w:tbl>
    <w:p w14:paraId="2881B71A" w14:textId="77777777" w:rsidR="003772A2" w:rsidRDefault="003772A2" w:rsidP="00800328">
      <w:pPr>
        <w:pStyle w:val="ListParagraph"/>
        <w:spacing w:before="120" w:after="120" w:line="30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B748E0C" w14:textId="77777777" w:rsidR="00442E8F" w:rsidRDefault="00442E8F" w:rsidP="00800328">
      <w:pPr>
        <w:pStyle w:val="ListParagraph"/>
        <w:spacing w:before="120" w:after="120" w:line="30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844F929" w14:textId="77777777" w:rsidR="00442E8F" w:rsidRPr="0099371F" w:rsidRDefault="00442E8F" w:rsidP="00800328">
      <w:pPr>
        <w:pStyle w:val="ListParagraph"/>
        <w:spacing w:before="120" w:after="120" w:line="30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3EA8119" w14:textId="7D46DBA4" w:rsidR="006C3B15" w:rsidRPr="0099371F" w:rsidRDefault="00322347" w:rsidP="00800328">
      <w:pPr>
        <w:pStyle w:val="ListParagraph"/>
        <w:spacing w:before="120" w:after="120" w:line="300" w:lineRule="exact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UBKT:</w:t>
      </w:r>
    </w:p>
    <w:tbl>
      <w:tblPr>
        <w:tblW w:w="963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559"/>
        <w:gridCol w:w="1276"/>
        <w:gridCol w:w="1833"/>
      </w:tblGrid>
      <w:tr w:rsidR="00924F79" w:rsidRPr="007D62B9" w14:paraId="3D1A48D6" w14:textId="77777777" w:rsidTr="00924F79">
        <w:trPr>
          <w:trHeight w:val="6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37FF7A" w14:textId="33284118" w:rsidR="003772A2" w:rsidRPr="007D62B9" w:rsidRDefault="00442E8F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lastRenderedPageBreak/>
              <w:t>S</w:t>
            </w:r>
            <w:r>
              <w:rPr>
                <w:rStyle w:val="spellingerror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850E8C1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6"/>
                <w:szCs w:val="26"/>
              </w:rPr>
            </w:pPr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viên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</w:p>
          <w:p w14:paraId="72FDEA49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>Ủy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11D8E0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họp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tham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dự</w:t>
            </w:r>
            <w:proofErr w:type="spellEnd"/>
            <w:r w:rsidRPr="007D62B9"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B9C1A5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Tỷ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tham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dự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họp</w:t>
            </w:r>
            <w:proofErr w:type="spellEnd"/>
            <w:r w:rsidRPr="007D62B9"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46C097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Tỷ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quyết</w:t>
            </w:r>
            <w:proofErr w:type="spellEnd"/>
            <w:r w:rsidRPr="007D62B9"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573F0A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Lý do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không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tham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dự</w:t>
            </w:r>
            <w:proofErr w:type="spellEnd"/>
            <w:r w:rsidRPr="007D62B9">
              <w:rPr>
                <w:rStyle w:val="normaltextru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2B9">
              <w:rPr>
                <w:rStyle w:val="spellingerror"/>
                <w:b/>
                <w:color w:val="000000"/>
                <w:sz w:val="26"/>
                <w:szCs w:val="26"/>
              </w:rPr>
              <w:t>họp</w:t>
            </w:r>
            <w:proofErr w:type="spellEnd"/>
            <w:r w:rsidRPr="007D62B9"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924F79" w:rsidRPr="007D62B9" w14:paraId="0BDCB69E" w14:textId="77777777" w:rsidTr="00924F79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86B0E" w14:textId="2A55FE1A" w:rsidR="003772A2" w:rsidRPr="007D62B9" w:rsidRDefault="00442E8F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FCE7B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proofErr w:type="spellStart"/>
            <w:r w:rsidRPr="007D62B9">
              <w:rPr>
                <w:color w:val="000000"/>
                <w:sz w:val="26"/>
                <w:szCs w:val="26"/>
              </w:rPr>
              <w:t>Ông</w:t>
            </w:r>
            <w:proofErr w:type="spellEnd"/>
            <w:r w:rsidRPr="007D62B9">
              <w:rPr>
                <w:color w:val="000000"/>
                <w:sz w:val="26"/>
                <w:szCs w:val="26"/>
              </w:rPr>
              <w:t xml:space="preserve"> Đặng Hoàng Giang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108B9" w14:textId="2C3AAED4" w:rsidR="003772A2" w:rsidRPr="007D62B9" w:rsidRDefault="003772A2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Style w:val="normaltextru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851FB" w14:textId="1A21D097" w:rsidR="003772A2" w:rsidRPr="007D62B9" w:rsidRDefault="00B71CDB" w:rsidP="00B71C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D62B9">
              <w:rPr>
                <w:rStyle w:val="normaltextrun"/>
                <w:sz w:val="26"/>
                <w:szCs w:val="26"/>
              </w:rPr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E13E7" w14:textId="5AD08E23" w:rsidR="003772A2" w:rsidRPr="007D62B9" w:rsidRDefault="00B71CDB" w:rsidP="00B71C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D62B9">
              <w:rPr>
                <w:rStyle w:val="normaltextrun"/>
                <w:sz w:val="26"/>
                <w:szCs w:val="26"/>
              </w:rPr>
              <w:t>100%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E595E" w14:textId="77777777" w:rsidR="003772A2" w:rsidRPr="007D62B9" w:rsidRDefault="003772A2" w:rsidP="00B71CDB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7D62B9">
              <w:rPr>
                <w:rStyle w:val="normaltextrun"/>
                <w:rFonts w:ascii="Cambria Math" w:hAnsi="Cambria Math" w:cs="Cambria Math"/>
                <w:sz w:val="26"/>
                <w:szCs w:val="26"/>
              </w:rPr>
              <w:t> </w:t>
            </w:r>
            <w:r w:rsidRPr="007D62B9">
              <w:rPr>
                <w:rStyle w:val="eop"/>
                <w:sz w:val="26"/>
                <w:szCs w:val="26"/>
              </w:rPr>
              <w:t> </w:t>
            </w:r>
          </w:p>
        </w:tc>
      </w:tr>
      <w:tr w:rsidR="00924F79" w:rsidRPr="007D62B9" w14:paraId="2B21B622" w14:textId="77777777" w:rsidTr="00924F79">
        <w:trPr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26512" w14:textId="4001F0C1" w:rsidR="003772A2" w:rsidRPr="007D62B9" w:rsidRDefault="00442E8F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C224A" w14:textId="77777777" w:rsidR="003772A2" w:rsidRPr="007D62B9" w:rsidRDefault="003772A2" w:rsidP="00874F7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7D62B9">
              <w:rPr>
                <w:color w:val="000000"/>
                <w:sz w:val="26"/>
                <w:szCs w:val="26"/>
              </w:rPr>
              <w:t>Bà</w:t>
            </w:r>
            <w:proofErr w:type="spellEnd"/>
            <w:r w:rsidRPr="007D62B9">
              <w:rPr>
                <w:color w:val="000000"/>
                <w:sz w:val="26"/>
                <w:szCs w:val="26"/>
              </w:rPr>
              <w:t xml:space="preserve"> Đặng Thị Ngọc </w:t>
            </w:r>
            <w:proofErr w:type="spellStart"/>
            <w:r w:rsidRPr="007D62B9">
              <w:rPr>
                <w:color w:val="000000"/>
                <w:sz w:val="26"/>
                <w:szCs w:val="26"/>
              </w:rPr>
              <w:t>Trâm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C62AA" w14:textId="257DF6A1" w:rsidR="003772A2" w:rsidRPr="007D62B9" w:rsidRDefault="00442E8F" w:rsidP="00874F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1E13D" w14:textId="6C6B4225" w:rsidR="003772A2" w:rsidRPr="007D62B9" w:rsidRDefault="00442E8F" w:rsidP="00B71C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6"/>
                <w:szCs w:val="26"/>
              </w:rPr>
            </w:pPr>
            <w:r w:rsidRPr="007D62B9">
              <w:rPr>
                <w:rStyle w:val="normaltextrun"/>
                <w:sz w:val="26"/>
                <w:szCs w:val="26"/>
              </w:rPr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A8D97" w14:textId="4C2B0752" w:rsidR="003772A2" w:rsidRPr="007D62B9" w:rsidRDefault="00B71CDB" w:rsidP="00B71C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6"/>
                <w:szCs w:val="26"/>
              </w:rPr>
            </w:pPr>
            <w:r w:rsidRPr="007D62B9">
              <w:rPr>
                <w:rStyle w:val="normaltextrun"/>
                <w:sz w:val="26"/>
                <w:szCs w:val="26"/>
              </w:rPr>
              <w:t>100%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CF0B" w14:textId="3F947B57" w:rsidR="003772A2" w:rsidRPr="007D62B9" w:rsidRDefault="003772A2" w:rsidP="00B71C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6"/>
                <w:szCs w:val="26"/>
              </w:rPr>
            </w:pPr>
          </w:p>
        </w:tc>
      </w:tr>
    </w:tbl>
    <w:p w14:paraId="67900077" w14:textId="787124EC" w:rsidR="00A40333" w:rsidRPr="003772A2" w:rsidRDefault="00A40333" w:rsidP="003772A2">
      <w:pPr>
        <w:spacing w:before="120" w:after="12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5869CF6" w14:textId="084A5334" w:rsidR="00A40333" w:rsidRPr="0099371F" w:rsidRDefault="00A40333" w:rsidP="005A4D4A">
      <w:pPr>
        <w:pStyle w:val="ListParagraph"/>
        <w:spacing w:before="120" w:after="120" w:line="300" w:lineRule="exact"/>
        <w:ind w:left="0" w:firstLine="5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qua,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496DB0">
        <w:rPr>
          <w:rFonts w:ascii="Times New Roman" w:hAnsi="Times New Roman" w:cs="Times New Roman"/>
          <w:sz w:val="26"/>
          <w:szCs w:val="26"/>
          <w:lang w:val="vi-VN"/>
        </w:rPr>
        <w:t xml:space="preserve">hành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Quý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04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83D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3D7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83D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3D7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83D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3D78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C83D78">
        <w:rPr>
          <w:rFonts w:ascii="Times New Roman" w:hAnsi="Times New Roman" w:cs="Times New Roman"/>
          <w:sz w:val="26"/>
          <w:szCs w:val="26"/>
        </w:rPr>
        <w:t xml:space="preserve"> qua</w:t>
      </w:r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.</w:t>
      </w:r>
    </w:p>
    <w:p w14:paraId="5D62F502" w14:textId="49EAACA2" w:rsidR="00800328" w:rsidRPr="0099371F" w:rsidRDefault="00A40333" w:rsidP="005A4D4A">
      <w:pPr>
        <w:pStyle w:val="ListParagraph"/>
        <w:spacing w:before="120" w:after="120" w:line="300" w:lineRule="exact"/>
        <w:ind w:left="0" w:firstLine="5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qua, </w:t>
      </w:r>
      <w:r w:rsidR="00954C7D" w:rsidRPr="0099371F">
        <w:rPr>
          <w:rFonts w:ascii="Times New Roman" w:hAnsi="Times New Roman" w:cs="Times New Roman"/>
          <w:sz w:val="26"/>
          <w:szCs w:val="26"/>
        </w:rPr>
        <w:t>UBKT</w:t>
      </w:r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6721" w:rsidRPr="0099371F">
        <w:rPr>
          <w:rFonts w:ascii="Times New Roman" w:hAnsi="Times New Roman" w:cs="Times New Roman"/>
          <w:sz w:val="26"/>
          <w:szCs w:val="26"/>
        </w:rPr>
        <w:t>L</w:t>
      </w:r>
      <w:r w:rsidR="00800328" w:rsidRPr="0099371F">
        <w:rPr>
          <w:rFonts w:ascii="Times New Roman" w:hAnsi="Times New Roman" w:cs="Times New Roman"/>
          <w:sz w:val="26"/>
          <w:szCs w:val="26"/>
        </w:rPr>
        <w:t>uật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16721" w:rsidRPr="0099371F">
        <w:rPr>
          <w:rFonts w:ascii="Times New Roman" w:hAnsi="Times New Roman" w:cs="Times New Roman"/>
          <w:sz w:val="26"/>
          <w:szCs w:val="26"/>
        </w:rPr>
        <w:t>Đ</w:t>
      </w:r>
      <w:r w:rsidR="00800328" w:rsidRPr="0099371F">
        <w:rPr>
          <w:rFonts w:ascii="Times New Roman" w:hAnsi="Times New Roman" w:cs="Times New Roman"/>
          <w:sz w:val="26"/>
          <w:szCs w:val="26"/>
        </w:rPr>
        <w:t>iều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016721" w:rsidRPr="0099371F">
        <w:rPr>
          <w:rFonts w:ascii="Times New Roman" w:hAnsi="Times New Roman" w:cs="Times New Roman"/>
          <w:sz w:val="26"/>
          <w:szCs w:val="26"/>
        </w:rPr>
        <w:t>Q</w:t>
      </w:r>
      <w:r w:rsidR="00800328" w:rsidRPr="0099371F">
        <w:rPr>
          <w:rFonts w:ascii="Times New Roman" w:hAnsi="Times New Roman" w:cs="Times New Roman"/>
          <w:sz w:val="26"/>
          <w:szCs w:val="26"/>
        </w:rPr>
        <w:t xml:space="preserve">uy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954C7D" w:rsidRPr="0099371F">
        <w:rPr>
          <w:rFonts w:ascii="Times New Roman" w:hAnsi="Times New Roman" w:cs="Times New Roman"/>
          <w:sz w:val="26"/>
          <w:szCs w:val="26"/>
        </w:rPr>
        <w:t>UBKT</w:t>
      </w:r>
      <w:r w:rsidR="00800328" w:rsidRPr="0099371F">
        <w:rPr>
          <w:rFonts w:ascii="Times New Roman" w:hAnsi="Times New Roman" w:cs="Times New Roman"/>
          <w:sz w:val="26"/>
          <w:szCs w:val="26"/>
        </w:rPr>
        <w:t>.</w:t>
      </w:r>
    </w:p>
    <w:p w14:paraId="0735404A" w14:textId="30A6DFD3" w:rsidR="00800328" w:rsidRPr="0099371F" w:rsidRDefault="00800328" w:rsidP="005A4D4A">
      <w:pPr>
        <w:pStyle w:val="ListParagraph"/>
        <w:spacing w:before="120" w:after="120" w:line="300" w:lineRule="exact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016721" w:rsidRPr="0099371F">
        <w:rPr>
          <w:rFonts w:ascii="Times New Roman" w:hAnsi="Times New Roman" w:cs="Times New Roman"/>
          <w:sz w:val="26"/>
          <w:szCs w:val="26"/>
        </w:rPr>
        <w:t>,</w:t>
      </w:r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:</w:t>
      </w:r>
    </w:p>
    <w:p w14:paraId="49F685C4" w14:textId="09A91CD8" w:rsidR="00800328" w:rsidRPr="0099371F" w:rsidRDefault="00800328" w:rsidP="005A4D4A">
      <w:pPr>
        <w:pStyle w:val="ListParagraph"/>
        <w:numPr>
          <w:ilvl w:val="0"/>
          <w:numId w:val="1"/>
        </w:numPr>
        <w:spacing w:before="120" w:after="120" w:line="300" w:lineRule="exact"/>
        <w:ind w:left="5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FE3B13" w:rsidRPr="0099371F">
        <w:rPr>
          <w:rFonts w:ascii="Times New Roman" w:hAnsi="Times New Roman" w:cs="Times New Roman"/>
          <w:sz w:val="26"/>
          <w:szCs w:val="26"/>
        </w:rPr>
        <w:t>.</w:t>
      </w:r>
    </w:p>
    <w:p w14:paraId="6D2ECBC3" w14:textId="37C42F56" w:rsidR="00800328" w:rsidRPr="0099371F" w:rsidRDefault="00800328" w:rsidP="005A4D4A">
      <w:pPr>
        <w:pStyle w:val="ListParagraph"/>
        <w:numPr>
          <w:ilvl w:val="0"/>
          <w:numId w:val="1"/>
        </w:numPr>
        <w:spacing w:before="120" w:after="120" w:line="300" w:lineRule="exact"/>
        <w:ind w:left="5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Xem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Báo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.</w:t>
      </w:r>
    </w:p>
    <w:p w14:paraId="096FCDAE" w14:textId="09018DE5" w:rsidR="00800328" w:rsidRPr="0099371F" w:rsidRDefault="00157727" w:rsidP="005A4D4A">
      <w:pPr>
        <w:pStyle w:val="ListParagraph"/>
        <w:numPr>
          <w:ilvl w:val="0"/>
          <w:numId w:val="1"/>
        </w:numPr>
        <w:spacing w:before="120" w:after="120" w:line="300" w:lineRule="exact"/>
        <w:ind w:left="5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>UBKT</w:t>
      </w:r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ro</w:t>
      </w:r>
      <w:r w:rsidR="00800328" w:rsidRPr="0099371F">
        <w:rPr>
          <w:rFonts w:ascii="Times New Roman" w:hAnsi="Times New Roman" w:cs="Times New Roman"/>
          <w:sz w:val="26"/>
          <w:szCs w:val="26"/>
        </w:rPr>
        <w:t xml:space="preserve">. Qua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Pr="0099371F">
        <w:rPr>
          <w:rFonts w:ascii="Times New Roman" w:hAnsi="Times New Roman" w:cs="Times New Roman"/>
          <w:sz w:val="26"/>
          <w:szCs w:val="26"/>
        </w:rPr>
        <w:t>UBKT</w:t>
      </w:r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328" w:rsidRPr="0099371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00328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Báo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9371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6037B9E3" w14:textId="3E4C98F7" w:rsidR="00157727" w:rsidRPr="0099371F" w:rsidRDefault="00157727" w:rsidP="005A4D4A">
      <w:pPr>
        <w:pStyle w:val="ListParagraph"/>
        <w:numPr>
          <w:ilvl w:val="0"/>
          <w:numId w:val="1"/>
        </w:numPr>
        <w:spacing w:before="120" w:after="120" w:line="300" w:lineRule="exact"/>
        <w:ind w:left="5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AE4292">
        <w:rPr>
          <w:rFonts w:ascii="Times New Roman" w:hAnsi="Times New Roman" w:cs="Times New Roman"/>
          <w:sz w:val="26"/>
          <w:szCs w:val="26"/>
          <w:lang w:val="vi-VN"/>
        </w:rPr>
        <w:t>c</w:t>
      </w:r>
      <w:proofErr w:type="spellStart"/>
      <w:r w:rsidR="00AE4292" w:rsidRPr="0099371F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AE429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qua</w:t>
      </w:r>
    </w:p>
    <w:p w14:paraId="30A76334" w14:textId="27728960" w:rsidR="004256B4" w:rsidRPr="0099371F" w:rsidRDefault="004256B4" w:rsidP="005A4D4A">
      <w:pPr>
        <w:pStyle w:val="ListParagraph"/>
        <w:numPr>
          <w:ilvl w:val="0"/>
          <w:numId w:val="4"/>
        </w:numPr>
        <w:spacing w:before="120" w:after="120" w:line="300" w:lineRule="exact"/>
        <w:ind w:left="540" w:hanging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Báo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44E7">
        <w:rPr>
          <w:rFonts w:ascii="Times New Roman" w:hAnsi="Times New Roman" w:cs="Times New Roman"/>
          <w:b/>
          <w:bCs/>
          <w:sz w:val="26"/>
          <w:szCs w:val="26"/>
          <w:lang w:val="vi-VN"/>
        </w:rPr>
        <w:t>hoạt động giám sát của</w:t>
      </w:r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UBKT</w:t>
      </w:r>
    </w:p>
    <w:p w14:paraId="7A83E231" w14:textId="7B885388" w:rsidR="00FE3B13" w:rsidRPr="0099371F" w:rsidRDefault="004256B4" w:rsidP="005A4D4A">
      <w:pPr>
        <w:pStyle w:val="ListParagraph"/>
        <w:numPr>
          <w:ilvl w:val="0"/>
          <w:numId w:val="5"/>
        </w:numPr>
        <w:spacing w:before="120" w:after="120" w:line="300" w:lineRule="exact"/>
        <w:ind w:left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Thù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lao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, chi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UBKT</w:t>
      </w:r>
    </w:p>
    <w:p w14:paraId="7AF4DAAD" w14:textId="6A2E2400" w:rsidR="004256B4" w:rsidRPr="0099371F" w:rsidRDefault="004256B4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UBKT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UBKT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qua.</w:t>
      </w:r>
    </w:p>
    <w:p w14:paraId="2617D206" w14:textId="38F268EA" w:rsidR="005538C3" w:rsidRPr="0099371F" w:rsidRDefault="005538C3" w:rsidP="005A4D4A">
      <w:pPr>
        <w:pStyle w:val="ListParagraph"/>
        <w:numPr>
          <w:ilvl w:val="0"/>
          <w:numId w:val="5"/>
        </w:numPr>
        <w:spacing w:before="120" w:after="120" w:line="300" w:lineRule="exact"/>
        <w:ind w:left="18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sát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Báo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Công ty:</w:t>
      </w:r>
    </w:p>
    <w:p w14:paraId="5CB7E8A6" w14:textId="0EBFC0C6" w:rsidR="005538C3" w:rsidRDefault="00140C76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538C3" w:rsidRPr="0099371F">
        <w:rPr>
          <w:rFonts w:ascii="Times New Roman" w:hAnsi="Times New Roman" w:cs="Times New Roman"/>
          <w:sz w:val="26"/>
          <w:szCs w:val="26"/>
        </w:rPr>
        <w:t xml:space="preserve">Báo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Tuy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2FE8BCB8" w14:textId="6366402E" w:rsidR="008A2570" w:rsidRDefault="00140C76" w:rsidP="008A2570">
      <w:pPr>
        <w:spacing w:before="120" w:after="120" w:line="300" w:lineRule="exac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+ </w:t>
      </w:r>
      <w:r w:rsidR="00616017" w:rsidRPr="008A2570">
        <w:rPr>
          <w:rFonts w:ascii="Times New Roman" w:hAnsi="Times New Roman" w:cs="Times New Roman"/>
          <w:i/>
          <w:iCs/>
          <w:sz w:val="26"/>
          <w:szCs w:val="26"/>
          <w:lang w:val="vi-VN"/>
        </w:rPr>
        <w:t>Về phần</w:t>
      </w:r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ngoại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trừ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về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trích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lập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dự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phòng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140C76">
        <w:rPr>
          <w:rFonts w:ascii="Times New Roman" w:hAnsi="Times New Roman" w:cs="Times New Roman"/>
          <w:sz w:val="26"/>
          <w:szCs w:val="26"/>
        </w:rPr>
        <w:t xml:space="preserve"> </w:t>
      </w:r>
      <w:r w:rsidR="008A2570" w:rsidRPr="008A2570">
        <w:rPr>
          <w:rFonts w:ascii="Times New Roman" w:hAnsi="Times New Roman" w:cs="Times New Roman"/>
          <w:sz w:val="26"/>
          <w:szCs w:val="26"/>
        </w:rPr>
        <w:t xml:space="preserve">Theo ý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31/03/2025, Công ty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. Công ty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31/03/2025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5 Thông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r w:rsidR="008A2570" w:rsidRPr="008A2570">
        <w:rPr>
          <w:rFonts w:ascii="Times New Roman" w:hAnsi="Times New Roman" w:cs="Times New Roman"/>
          <w:sz w:val="26"/>
          <w:szCs w:val="26"/>
        </w:rPr>
        <w:lastRenderedPageBreak/>
        <w:t xml:space="preserve">48/2019/TT-BTC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tổn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đòi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khoán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14.252.609.300 VND.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Báo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“Chi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14.252.609.300 VND,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“Chi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2.850.521.860 VND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“Lợi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570" w:rsidRPr="008A257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A2570" w:rsidRPr="008A2570">
        <w:rPr>
          <w:rFonts w:ascii="Times New Roman" w:hAnsi="Times New Roman" w:cs="Times New Roman"/>
          <w:sz w:val="26"/>
          <w:szCs w:val="26"/>
        </w:rPr>
        <w:t xml:space="preserve"> 11.402.087.440 VND</w:t>
      </w:r>
      <w:r w:rsidR="00616017" w:rsidRPr="00616017">
        <w:rPr>
          <w:rFonts w:ascii="Times New Roman" w:hAnsi="Times New Roman" w:cs="Times New Roman"/>
          <w:sz w:val="26"/>
          <w:szCs w:val="26"/>
        </w:rPr>
        <w:br/>
      </w:r>
    </w:p>
    <w:p w14:paraId="29C1027D" w14:textId="39866FEB" w:rsidR="00140C76" w:rsidRDefault="008A2570" w:rsidP="008A2570">
      <w:pPr>
        <w:spacing w:before="120" w:after="120"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=&gt; </w:t>
      </w:r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>.</w:t>
      </w:r>
    </w:p>
    <w:p w14:paraId="3074387F" w14:textId="24189980" w:rsidR="008A2570" w:rsidRDefault="00140C76" w:rsidP="008A2570">
      <w:pPr>
        <w:spacing w:before="120" w:after="120" w:line="300" w:lineRule="exac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+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Về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A2570">
        <w:rPr>
          <w:rFonts w:ascii="Times New Roman" w:hAnsi="Times New Roman" w:cs="Times New Roman"/>
          <w:i/>
          <w:iCs/>
          <w:sz w:val="26"/>
          <w:szCs w:val="26"/>
        </w:rPr>
        <w:t>khoản</w:t>
      </w:r>
      <w:proofErr w:type="spellEnd"/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A2570">
        <w:rPr>
          <w:rFonts w:ascii="Times New Roman" w:hAnsi="Times New Roman" w:cs="Times New Roman"/>
          <w:i/>
          <w:iCs/>
          <w:sz w:val="26"/>
          <w:szCs w:val="26"/>
          <w:lang w:val="vi-VN"/>
        </w:rPr>
        <w:t>cho vay ngắn hạn</w:t>
      </w:r>
      <w:r w:rsidRPr="008A25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A257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của Công ty cổ phần Tập đoàn </w:t>
      </w:r>
      <w:proofErr w:type="spellStart"/>
      <w:r w:rsidR="008A2570">
        <w:rPr>
          <w:rFonts w:ascii="Times New Roman" w:hAnsi="Times New Roman" w:cs="Times New Roman"/>
          <w:i/>
          <w:iCs/>
          <w:sz w:val="26"/>
          <w:szCs w:val="26"/>
          <w:lang w:val="vi-VN"/>
        </w:rPr>
        <w:t>Agri-Vina</w:t>
      </w:r>
      <w:proofErr w:type="spellEnd"/>
      <w:r w:rsidRPr="00140C7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Công ty.</w:t>
      </w:r>
    </w:p>
    <w:p w14:paraId="5674605B" w14:textId="0B56C041" w:rsidR="00140C76" w:rsidRPr="0099371F" w:rsidRDefault="008A2570" w:rsidP="008A2570">
      <w:pPr>
        <w:spacing w:before="120" w:after="120"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=&gt;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017" w:rsidRPr="0061601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16017" w:rsidRPr="00616017">
        <w:rPr>
          <w:rFonts w:ascii="Times New Roman" w:hAnsi="Times New Roman" w:cs="Times New Roman"/>
          <w:sz w:val="26"/>
          <w:szCs w:val="26"/>
        </w:rPr>
        <w:t xml:space="preserve"> Công ty.</w:t>
      </w:r>
    </w:p>
    <w:p w14:paraId="5160543B" w14:textId="5376A267" w:rsidR="005538C3" w:rsidRDefault="00140C76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538C3" w:rsidRPr="0099371F">
        <w:rPr>
          <w:rFonts w:ascii="Times New Roman" w:hAnsi="Times New Roman" w:cs="Times New Roman"/>
          <w:sz w:val="26"/>
          <w:szCs w:val="26"/>
        </w:rPr>
        <w:t xml:space="preserve">Công ty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99371F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538C3" w:rsidRPr="0099371F">
        <w:rPr>
          <w:rFonts w:ascii="Times New Roman" w:hAnsi="Times New Roman" w:cs="Times New Roman"/>
          <w:sz w:val="26"/>
          <w:szCs w:val="26"/>
        </w:rPr>
        <w:t>.</w:t>
      </w:r>
    </w:p>
    <w:p w14:paraId="1EE43D2E" w14:textId="0FA306FA" w:rsidR="001A2FCD" w:rsidRPr="0099371F" w:rsidRDefault="001A2FCD" w:rsidP="001A2FCD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9371F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E14380E" w14:textId="585B2787" w:rsidR="005538C3" w:rsidRDefault="00140C76" w:rsidP="008A2570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C62A0" w:rsidRPr="001871F8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n</w:t>
      </w:r>
      <w:r w:rsidR="005538C3" w:rsidRPr="001871F8">
        <w:rPr>
          <w:rFonts w:ascii="Times New Roman" w:hAnsi="Times New Roman" w:cs="Times New Roman"/>
          <w:sz w:val="26"/>
          <w:szCs w:val="26"/>
        </w:rPr>
        <w:t>iên</w:t>
      </w:r>
      <w:proofErr w:type="spellEnd"/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1871F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r w:rsidR="00147B68" w:rsidRPr="001871F8">
        <w:rPr>
          <w:rFonts w:ascii="Times New Roman" w:hAnsi="Times New Roman" w:cs="Times New Roman"/>
          <w:sz w:val="26"/>
          <w:szCs w:val="26"/>
        </w:rPr>
        <w:t>2024-2025</w:t>
      </w:r>
      <w:r w:rsidR="004C62A0" w:rsidRPr="001871F8">
        <w:rPr>
          <w:rFonts w:ascii="Times New Roman" w:hAnsi="Times New Roman" w:cs="Times New Roman"/>
          <w:sz w:val="26"/>
          <w:szCs w:val="26"/>
        </w:rPr>
        <w:t>:</w:t>
      </w:r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r w:rsidR="004C62A0" w:rsidRPr="001871F8">
        <w:rPr>
          <w:rFonts w:ascii="Times New Roman" w:hAnsi="Times New Roman" w:cs="Times New Roman"/>
          <w:sz w:val="26"/>
          <w:szCs w:val="26"/>
        </w:rPr>
        <w:t>D</w:t>
      </w:r>
      <w:r w:rsidR="005538C3" w:rsidRPr="001871F8">
        <w:rPr>
          <w:rFonts w:ascii="Times New Roman" w:hAnsi="Times New Roman" w:cs="Times New Roman"/>
          <w:sz w:val="26"/>
          <w:szCs w:val="26"/>
        </w:rPr>
        <w:t xml:space="preserve">oanh </w:t>
      </w:r>
      <w:proofErr w:type="spellStart"/>
      <w:r w:rsidR="005538C3" w:rsidRPr="001871F8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1871F8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1871F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1871F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8C3" w:rsidRPr="001871F8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5538C3" w:rsidRPr="001871F8">
        <w:rPr>
          <w:rFonts w:ascii="Times New Roman" w:hAnsi="Times New Roman" w:cs="Times New Roman"/>
          <w:sz w:val="26"/>
          <w:szCs w:val="26"/>
        </w:rPr>
        <w:t xml:space="preserve"> </w:t>
      </w:r>
      <w:r w:rsidR="007F589B" w:rsidRPr="001871F8">
        <w:rPr>
          <w:rFonts w:ascii="Times New Roman" w:hAnsi="Times New Roman" w:cs="Times New Roman"/>
          <w:sz w:val="26"/>
          <w:szCs w:val="26"/>
          <w:lang w:val="vi-VN"/>
        </w:rPr>
        <w:t>hơn 1.200 tỷ đồng</w:t>
      </w:r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r w:rsidR="00496DB0">
        <w:rPr>
          <w:rFonts w:ascii="Times New Roman" w:hAnsi="Times New Roman" w:cs="Times New Roman"/>
          <w:sz w:val="26"/>
          <w:szCs w:val="26"/>
          <w:lang w:val="vi-VN"/>
        </w:rPr>
        <w:t>gần 300</w:t>
      </w:r>
      <w:r w:rsidR="007F589B" w:rsidRPr="001871F8">
        <w:rPr>
          <w:rFonts w:ascii="Times New Roman" w:hAnsi="Times New Roman" w:cs="Times New Roman"/>
          <w:sz w:val="26"/>
          <w:szCs w:val="26"/>
          <w:lang w:val="vi-VN"/>
        </w:rPr>
        <w:t xml:space="preserve"> tỷ đồng</w:t>
      </w:r>
      <w:r w:rsidR="004C62A0" w:rsidRPr="001871F8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r w:rsidR="00147B68" w:rsidRPr="001871F8">
        <w:rPr>
          <w:rFonts w:ascii="Times New Roman" w:hAnsi="Times New Roman" w:cs="Times New Roman"/>
          <w:sz w:val="26"/>
          <w:szCs w:val="26"/>
        </w:rPr>
        <w:t>2023-2024</w:t>
      </w:r>
      <w:r w:rsidR="004C62A0" w:rsidRPr="001871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</w:t>
      </w:r>
      <w:r w:rsidR="00583CCF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r w:rsidR="00496DB0">
        <w:rPr>
          <w:rFonts w:ascii="Times New Roman" w:hAnsi="Times New Roman" w:cs="Times New Roman"/>
          <w:sz w:val="26"/>
          <w:szCs w:val="26"/>
        </w:rPr>
        <w:t>tang</w:t>
      </w:r>
      <w:r w:rsidR="00496DB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496DB0">
        <w:rPr>
          <w:rFonts w:ascii="Times New Roman" w:hAnsi="Times New Roman" w:cs="Times New Roman"/>
          <w:sz w:val="26"/>
          <w:szCs w:val="26"/>
          <w:lang w:val="vi-VN"/>
        </w:rPr>
        <w:t>gầb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7F589B" w:rsidRPr="001871F8">
        <w:rPr>
          <w:rFonts w:ascii="Times New Roman" w:hAnsi="Times New Roman" w:cs="Times New Roman"/>
          <w:sz w:val="26"/>
          <w:szCs w:val="26"/>
          <w:lang w:val="vi-VN"/>
        </w:rPr>
        <w:t xml:space="preserve"> tỷ </w:t>
      </w:r>
      <w:r w:rsidR="00496DB0">
        <w:rPr>
          <w:rFonts w:ascii="Times New Roman" w:hAnsi="Times New Roman" w:cs="Times New Roman"/>
          <w:sz w:val="26"/>
          <w:szCs w:val="26"/>
          <w:lang w:val="vi-VN"/>
        </w:rPr>
        <w:t xml:space="preserve">đồng </w:t>
      </w:r>
      <w:r w:rsidR="004C62A0" w:rsidRPr="001871F8">
        <w:rPr>
          <w:rFonts w:ascii="Times New Roman" w:hAnsi="Times New Roman" w:cs="Times New Roman"/>
          <w:sz w:val="26"/>
          <w:szCs w:val="26"/>
        </w:rPr>
        <w:t xml:space="preserve">so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2A0" w:rsidRPr="001871F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4C62A0" w:rsidRPr="001871F8">
        <w:rPr>
          <w:rFonts w:ascii="Times New Roman" w:hAnsi="Times New Roman" w:cs="Times New Roman"/>
          <w:sz w:val="26"/>
          <w:szCs w:val="26"/>
        </w:rPr>
        <w:t xml:space="preserve"> </w:t>
      </w:r>
      <w:r w:rsidR="007F589B" w:rsidRPr="001871F8">
        <w:rPr>
          <w:rFonts w:ascii="Times New Roman" w:hAnsi="Times New Roman" w:cs="Times New Roman"/>
          <w:sz w:val="26"/>
          <w:szCs w:val="26"/>
          <w:lang w:val="vi-VN"/>
        </w:rPr>
        <w:t>2023-2024.</w:t>
      </w:r>
    </w:p>
    <w:p w14:paraId="14544532" w14:textId="54C68C6B" w:rsidR="004C62A0" w:rsidRPr="0099371F" w:rsidRDefault="004C62A0" w:rsidP="005A4D4A">
      <w:pPr>
        <w:pStyle w:val="ListParagraph"/>
        <w:numPr>
          <w:ilvl w:val="0"/>
          <w:numId w:val="5"/>
        </w:numPr>
        <w:spacing w:before="120" w:after="120" w:line="300" w:lineRule="exact"/>
        <w:ind w:left="18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Báo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Công ty;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Công ty,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ty con,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ty do Công ty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soát</w:t>
      </w:r>
      <w:proofErr w:type="spellEnd"/>
    </w:p>
    <w:p w14:paraId="3A032C3B" w14:textId="645FF46C" w:rsidR="004C62A0" w:rsidRPr="0099371F" w:rsidRDefault="004C62A0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Công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Công ty;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Công ty,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con,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do Công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.</w:t>
      </w:r>
    </w:p>
    <w:p w14:paraId="76C87F6F" w14:textId="3CF7B958" w:rsidR="004C62A0" w:rsidRPr="0099371F" w:rsidRDefault="004C62A0" w:rsidP="005A4D4A">
      <w:pPr>
        <w:pStyle w:val="ListParagraph"/>
        <w:numPr>
          <w:ilvl w:val="0"/>
          <w:numId w:val="5"/>
        </w:numPr>
        <w:spacing w:before="120" w:after="120" w:line="300" w:lineRule="exact"/>
        <w:ind w:left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tại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Công ty</w:t>
      </w:r>
    </w:p>
    <w:p w14:paraId="0EFD6049" w14:textId="6BFC2616" w:rsidR="00101C72" w:rsidRPr="0099371F" w:rsidRDefault="004C62A0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UBKT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nhầm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1C72" w:rsidRPr="0099371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101C72" w:rsidRPr="0099371F">
        <w:rPr>
          <w:rFonts w:ascii="Times New Roman" w:hAnsi="Times New Roman" w:cs="Times New Roman"/>
          <w:sz w:val="26"/>
          <w:szCs w:val="26"/>
        </w:rPr>
        <w:t>.</w:t>
      </w:r>
    </w:p>
    <w:p w14:paraId="268C1F1F" w14:textId="5D89CE8C" w:rsidR="00101C72" w:rsidRPr="0099371F" w:rsidRDefault="00101C72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lastRenderedPageBreak/>
        <w:t xml:space="preserve">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p w14:paraId="60667D0D" w14:textId="4B4DCD95" w:rsidR="004C62A0" w:rsidRPr="0099371F" w:rsidRDefault="00101C72" w:rsidP="005A4D4A">
      <w:pPr>
        <w:pStyle w:val="ListParagraph"/>
        <w:numPr>
          <w:ilvl w:val="0"/>
          <w:numId w:val="5"/>
        </w:numPr>
        <w:tabs>
          <w:tab w:val="left" w:pos="540"/>
        </w:tabs>
        <w:spacing w:before="120" w:after="120" w:line="300" w:lineRule="exact"/>
        <w:ind w:left="270" w:hanging="9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sát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HĐQT,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đốc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Công ty</w:t>
      </w:r>
    </w:p>
    <w:p w14:paraId="32D42CBE" w14:textId="18535372" w:rsidR="00101C72" w:rsidRPr="0099371F" w:rsidRDefault="00101C72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Các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cuộc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họp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HĐQT:</w:t>
      </w:r>
    </w:p>
    <w:p w14:paraId="58737D94" w14:textId="13E2AACE" w:rsidR="00BD02BB" w:rsidRPr="0099371F" w:rsidRDefault="00101C72" w:rsidP="005A4D4A">
      <w:pPr>
        <w:tabs>
          <w:tab w:val="left" w:pos="360"/>
        </w:tabs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HĐQT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HĐQT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371F">
        <w:rPr>
          <w:rFonts w:ascii="Times New Roman" w:hAnsi="Times New Roman" w:cs="Times New Roman"/>
          <w:sz w:val="26"/>
          <w:szCs w:val="26"/>
        </w:rPr>
        <w:t>ty</w:t>
      </w:r>
      <w:r w:rsidR="00BD02BB" w:rsidRPr="0099371F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5239DAF6" w14:textId="4B13254B" w:rsidR="00817135" w:rsidRPr="0099371F" w:rsidRDefault="00817135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HĐQT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CA3639" w:rsidRPr="0099371F">
        <w:rPr>
          <w:rFonts w:ascii="Times New Roman" w:hAnsi="Times New Roman" w:cs="Times New Roman"/>
          <w:sz w:val="26"/>
          <w:szCs w:val="26"/>
        </w:rPr>
        <w:t>.</w:t>
      </w:r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680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41591A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591A"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035680" w:rsidRPr="0099371F">
        <w:rPr>
          <w:rFonts w:ascii="Times New Roman" w:hAnsi="Times New Roman" w:cs="Times New Roman"/>
          <w:sz w:val="26"/>
          <w:szCs w:val="26"/>
        </w:rPr>
        <w:t>.</w:t>
      </w:r>
      <w:r w:rsidR="00CA3639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0BE0" w:rsidRPr="0099371F">
        <w:rPr>
          <w:rFonts w:ascii="Times New Roman" w:hAnsi="Times New Roman" w:cs="Times New Roman"/>
          <w:sz w:val="26"/>
          <w:szCs w:val="26"/>
        </w:rPr>
        <w:t>N</w:t>
      </w:r>
      <w:r w:rsidRPr="0099371F">
        <w:rPr>
          <w:rFonts w:ascii="Times New Roman" w:hAnsi="Times New Roman" w:cs="Times New Roman"/>
          <w:sz w:val="26"/>
          <w:szCs w:val="26"/>
        </w:rPr>
        <w:t>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.</w:t>
      </w:r>
    </w:p>
    <w:p w14:paraId="17D5CA88" w14:textId="36E29123" w:rsidR="003C0C09" w:rsidRPr="0099371F" w:rsidRDefault="003C0C09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HĐQT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210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0D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10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0D08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FBD" w:rsidRPr="0099371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447FBD" w:rsidRPr="0099371F">
        <w:rPr>
          <w:rFonts w:ascii="Times New Roman" w:hAnsi="Times New Roman" w:cs="Times New Roman"/>
          <w:sz w:val="26"/>
          <w:szCs w:val="26"/>
        </w:rPr>
        <w:t xml:space="preserve"> 202</w:t>
      </w:r>
      <w:r w:rsidR="00447FBD">
        <w:rPr>
          <w:rFonts w:ascii="Times New Roman" w:hAnsi="Times New Roman" w:cs="Times New Roman"/>
          <w:sz w:val="26"/>
          <w:szCs w:val="26"/>
        </w:rPr>
        <w:t>4.</w:t>
      </w:r>
    </w:p>
    <w:p w14:paraId="617A0D8A" w14:textId="35D7F99A" w:rsidR="00BD02BB" w:rsidRDefault="00817135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BD02BB" w:rsidRPr="0099371F">
        <w:rPr>
          <w:rFonts w:ascii="Times New Roman" w:hAnsi="Times New Roman" w:cs="Times New Roman"/>
          <w:sz w:val="26"/>
          <w:szCs w:val="26"/>
        </w:rPr>
        <w:t xml:space="preserve">HĐQT </w:t>
      </w:r>
      <w:proofErr w:type="spellStart"/>
      <w:r w:rsidR="006C0BE0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6C0BE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Công ty,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thắn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79CF" w:rsidRPr="0099371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3979C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2BB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gánh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Công ty</w:t>
      </w:r>
      <w:r w:rsidR="00310327" w:rsidRPr="0099371F">
        <w:rPr>
          <w:rFonts w:ascii="Times New Roman" w:hAnsi="Times New Roman" w:cs="Times New Roman"/>
          <w:sz w:val="26"/>
          <w:szCs w:val="26"/>
        </w:rPr>
        <w:t>.</w:t>
      </w:r>
      <w:r w:rsidR="00BD02BB" w:rsidRPr="009937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F2F961" w14:textId="2824D7A0" w:rsidR="00FE3B13" w:rsidRPr="0099371F" w:rsidRDefault="00101C72" w:rsidP="005A4D4A">
      <w:pPr>
        <w:pStyle w:val="ListParagraph"/>
        <w:spacing w:before="120" w:after="120" w:line="300" w:lineRule="exact"/>
        <w:ind w:left="0" w:firstLine="540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i/>
          <w:iCs/>
          <w:sz w:val="26"/>
          <w:szCs w:val="26"/>
        </w:rPr>
        <w:t>H</w:t>
      </w:r>
      <w:r w:rsidR="00FE3B13" w:rsidRPr="0099371F">
        <w:rPr>
          <w:rFonts w:ascii="Times New Roman" w:hAnsi="Times New Roman" w:cs="Times New Roman"/>
          <w:i/>
          <w:iCs/>
          <w:sz w:val="26"/>
          <w:szCs w:val="26"/>
        </w:rPr>
        <w:t>oạt</w:t>
      </w:r>
      <w:proofErr w:type="spellEnd"/>
      <w:r w:rsidR="00FE3B13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 w:rsidR="00FE3B13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3B13" w:rsidRPr="0099371F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="00FE3B13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Ban </w:t>
      </w:r>
      <w:proofErr w:type="spellStart"/>
      <w:r w:rsidR="00CA2D90" w:rsidRPr="0099371F">
        <w:rPr>
          <w:rFonts w:ascii="Times New Roman" w:hAnsi="Times New Roman" w:cs="Times New Roman"/>
          <w:i/>
          <w:iCs/>
          <w:sz w:val="26"/>
          <w:szCs w:val="26"/>
        </w:rPr>
        <w:t>Tổng</w:t>
      </w:r>
      <w:proofErr w:type="spellEnd"/>
      <w:r w:rsidR="00CA2D90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i/>
          <w:iCs/>
          <w:sz w:val="26"/>
          <w:szCs w:val="26"/>
        </w:rPr>
        <w:t>Giám</w:t>
      </w:r>
      <w:proofErr w:type="spellEnd"/>
      <w:r w:rsidR="00CA2D90" w:rsidRPr="0099371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i/>
          <w:iCs/>
          <w:sz w:val="26"/>
          <w:szCs w:val="26"/>
        </w:rPr>
        <w:t>đốc</w:t>
      </w:r>
      <w:proofErr w:type="spellEnd"/>
    </w:p>
    <w:p w14:paraId="66E9F266" w14:textId="767766F7" w:rsidR="009A214F" w:rsidRPr="0099371F" w:rsidRDefault="000B7FC6" w:rsidP="005A4D4A">
      <w:pPr>
        <w:pStyle w:val="ListParagraph"/>
        <w:spacing w:before="120" w:after="120" w:line="300" w:lineRule="exact"/>
        <w:ind w:left="0" w:firstLine="5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HĐQT. </w:t>
      </w:r>
      <w:r w:rsidR="00CA2D90" w:rsidRPr="0099371F"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71D0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FF71D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A6277A">
        <w:rPr>
          <w:rFonts w:ascii="Times New Roman" w:hAnsi="Times New Roman" w:cs="Times New Roman"/>
          <w:sz w:val="26"/>
          <w:szCs w:val="26"/>
        </w:rPr>
        <w:t>2024-2025</w:t>
      </w:r>
      <w:r w:rsidR="00FF71D0" w:rsidRPr="0099371F">
        <w:rPr>
          <w:rFonts w:ascii="Times New Roman" w:hAnsi="Times New Roman" w:cs="Times New Roman"/>
          <w:sz w:val="26"/>
          <w:szCs w:val="26"/>
        </w:rPr>
        <w:t>.</w:t>
      </w:r>
    </w:p>
    <w:p w14:paraId="5FC664CA" w14:textId="46A2B494" w:rsidR="00C32B0F" w:rsidRPr="0099371F" w:rsidRDefault="00C32B0F" w:rsidP="005A4D4A">
      <w:pPr>
        <w:pStyle w:val="ListParagraph"/>
        <w:numPr>
          <w:ilvl w:val="0"/>
          <w:numId w:val="5"/>
        </w:numPr>
        <w:spacing w:before="120" w:after="120" w:line="300" w:lineRule="exact"/>
        <w:ind w:left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phối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UBKT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HĐQT,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đốc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b/>
          <w:bCs/>
          <w:sz w:val="26"/>
          <w:szCs w:val="26"/>
        </w:rPr>
        <w:t>đông</w:t>
      </w:r>
      <w:proofErr w:type="spellEnd"/>
    </w:p>
    <w:p w14:paraId="0B7C601F" w14:textId="7A7D22E1" w:rsidR="00C32B0F" w:rsidRPr="0099371F" w:rsidRDefault="00C32B0F" w:rsidP="005A4D4A">
      <w:pPr>
        <w:spacing w:before="120" w:after="120" w:line="30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UBKT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HĐQT,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Quy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UBKT</w:t>
      </w:r>
    </w:p>
    <w:p w14:paraId="352F44E8" w14:textId="2F5D8336" w:rsidR="00FE3B13" w:rsidRPr="0099371F" w:rsidRDefault="00FE3B13" w:rsidP="00C32B0F">
      <w:pPr>
        <w:pStyle w:val="ListParagraph"/>
        <w:numPr>
          <w:ilvl w:val="0"/>
          <w:numId w:val="4"/>
        </w:numPr>
        <w:spacing w:before="120"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>KẾT LUẬN</w:t>
      </w:r>
    </w:p>
    <w:p w14:paraId="5D5F3D80" w14:textId="637F12AC" w:rsidR="00FE3B13" w:rsidRPr="0099371F" w:rsidRDefault="00FE3B13" w:rsidP="005A4D4A">
      <w:pPr>
        <w:spacing w:before="120" w:after="120" w:line="300" w:lineRule="exact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Thông qua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r w:rsidR="00640599">
        <w:rPr>
          <w:rFonts w:ascii="Times New Roman" w:hAnsi="Times New Roman" w:cs="Times New Roman"/>
          <w:sz w:val="26"/>
          <w:szCs w:val="26"/>
        </w:rPr>
        <w:t>2024</w:t>
      </w:r>
      <w:r w:rsidR="00CA2D90" w:rsidRPr="0099371F">
        <w:rPr>
          <w:rFonts w:ascii="Times New Roman" w:hAnsi="Times New Roman" w:cs="Times New Roman"/>
          <w:sz w:val="26"/>
          <w:szCs w:val="26"/>
        </w:rPr>
        <w:t xml:space="preserve">, UBKT </w:t>
      </w:r>
      <w:r w:rsidRPr="0099371F">
        <w:rPr>
          <w:rFonts w:ascii="Times New Roman" w:hAnsi="Times New Roman" w:cs="Times New Roman"/>
          <w:sz w:val="26"/>
          <w:szCs w:val="26"/>
        </w:rPr>
        <w:t xml:space="preserve">Công ty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Tậ</w:t>
      </w:r>
      <w:r w:rsidR="005A4D4A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5A4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4D4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5A4D4A">
        <w:rPr>
          <w:rFonts w:ascii="Times New Roman" w:hAnsi="Times New Roman" w:cs="Times New Roman"/>
          <w:sz w:val="26"/>
          <w:szCs w:val="26"/>
        </w:rPr>
        <w:t xml:space="preserve"> HI</w:t>
      </w:r>
      <w:r w:rsidRPr="0099371F">
        <w:rPr>
          <w:rFonts w:ascii="Times New Roman" w:hAnsi="Times New Roman" w:cs="Times New Roman"/>
          <w:sz w:val="26"/>
          <w:szCs w:val="26"/>
        </w:rPr>
        <w:t xml:space="preserve">PT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HĐQT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Công ty.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</w:t>
      </w:r>
      <w:r w:rsidR="006C0BE0" w:rsidRPr="0099371F">
        <w:rPr>
          <w:rFonts w:ascii="Times New Roman" w:hAnsi="Times New Roman" w:cs="Times New Roman"/>
          <w:sz w:val="26"/>
          <w:szCs w:val="26"/>
        </w:rPr>
        <w:t>Đ</w:t>
      </w:r>
      <w:r w:rsidRPr="0099371F">
        <w:rPr>
          <w:rFonts w:ascii="Times New Roman" w:hAnsi="Times New Roman" w:cs="Times New Roman"/>
          <w:sz w:val="26"/>
          <w:szCs w:val="26"/>
        </w:rPr>
        <w:t xml:space="preserve">QT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. Ban TGĐ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HĐQT,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.</w:t>
      </w:r>
    </w:p>
    <w:p w14:paraId="49C2D737" w14:textId="2537351A" w:rsidR="00FE3B13" w:rsidRPr="0099371F" w:rsidRDefault="00FE3B13" w:rsidP="005A4D4A">
      <w:pPr>
        <w:spacing w:before="120" w:after="120" w:line="300" w:lineRule="exact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99371F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71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HĐQT, Ban TGĐ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.</w:t>
      </w:r>
    </w:p>
    <w:p w14:paraId="4A3A8DB6" w14:textId="665B2D73" w:rsidR="00FE3B13" w:rsidRDefault="00FE3B13" w:rsidP="005A4D4A">
      <w:pPr>
        <w:spacing w:before="120" w:after="120" w:line="300" w:lineRule="exact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371F">
        <w:rPr>
          <w:rFonts w:ascii="Times New Roman" w:hAnsi="Times New Roman" w:cs="Times New Roman"/>
          <w:sz w:val="26"/>
          <w:szCs w:val="26"/>
        </w:rPr>
        <w:lastRenderedPageBreak/>
        <w:t>Kính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D90" w:rsidRPr="0099371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CA2D90" w:rsidRPr="0099371F">
        <w:rPr>
          <w:rFonts w:ascii="Times New Roman" w:hAnsi="Times New Roman" w:cs="Times New Roman"/>
          <w:sz w:val="26"/>
          <w:szCs w:val="26"/>
        </w:rPr>
        <w:t xml:space="preserve"> qua</w:t>
      </w:r>
      <w:r w:rsidR="00C32B0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B0F" w:rsidRPr="0099371F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C32B0F" w:rsidRPr="00993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B0F" w:rsidRPr="0099371F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C32B0F" w:rsidRPr="0099371F">
        <w:rPr>
          <w:rFonts w:ascii="Times New Roman" w:hAnsi="Times New Roman" w:cs="Times New Roman"/>
          <w:sz w:val="26"/>
          <w:szCs w:val="26"/>
        </w:rPr>
        <w:t xml:space="preserve"> Báo </w:t>
      </w:r>
      <w:proofErr w:type="spellStart"/>
      <w:r w:rsidR="00C32B0F" w:rsidRPr="0099371F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9371F">
        <w:rPr>
          <w:rFonts w:ascii="Times New Roman" w:hAnsi="Times New Roman" w:cs="Times New Roman"/>
          <w:sz w:val="26"/>
          <w:szCs w:val="26"/>
        </w:rPr>
        <w:t>./.</w:t>
      </w:r>
    </w:p>
    <w:p w14:paraId="52EB90C8" w14:textId="77777777" w:rsidR="00315BCF" w:rsidRPr="0099371F" w:rsidRDefault="00315BCF" w:rsidP="00C32B0F">
      <w:pPr>
        <w:spacing w:before="120" w:after="120" w:line="300" w:lineRule="exact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7BC0BFD" w14:textId="510C1576" w:rsidR="00C32B0F" w:rsidRPr="0099371F" w:rsidRDefault="00C32B0F" w:rsidP="00C32B0F">
      <w:pPr>
        <w:spacing w:before="120" w:after="120" w:line="300" w:lineRule="exact"/>
        <w:ind w:left="432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>THÀNH VIÊN ĐỘC LẬP HĐQT</w:t>
      </w:r>
    </w:p>
    <w:p w14:paraId="396C53E5" w14:textId="77777777" w:rsidR="00C32B0F" w:rsidRPr="0099371F" w:rsidRDefault="00C32B0F" w:rsidP="00C32B0F">
      <w:pPr>
        <w:spacing w:before="120" w:after="120" w:line="300" w:lineRule="exact"/>
        <w:ind w:left="432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FAF51F" w14:textId="77777777" w:rsidR="00C32B0F" w:rsidRPr="0099371F" w:rsidRDefault="00C32B0F" w:rsidP="00C32B0F">
      <w:pPr>
        <w:spacing w:before="120" w:after="120" w:line="300" w:lineRule="exact"/>
        <w:ind w:left="432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AA1A45" w14:textId="77777777" w:rsidR="00C32B0F" w:rsidRPr="0099371F" w:rsidRDefault="00C32B0F" w:rsidP="00C32B0F">
      <w:pPr>
        <w:spacing w:before="120" w:after="120" w:line="300" w:lineRule="exact"/>
        <w:ind w:left="432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F145BD" w14:textId="27F64E6E" w:rsidR="00C32B0F" w:rsidRPr="0099371F" w:rsidRDefault="00C32B0F" w:rsidP="00C32B0F">
      <w:pPr>
        <w:spacing w:before="120" w:after="120" w:line="300" w:lineRule="exact"/>
        <w:ind w:left="432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371F">
        <w:rPr>
          <w:rFonts w:ascii="Times New Roman" w:hAnsi="Times New Roman" w:cs="Times New Roman"/>
          <w:b/>
          <w:bCs/>
          <w:sz w:val="26"/>
          <w:szCs w:val="26"/>
        </w:rPr>
        <w:t>CHỦ TỊCH UBKT</w:t>
      </w:r>
    </w:p>
    <w:p w14:paraId="2BEAABA2" w14:textId="2DB00AC0" w:rsidR="00FE3B13" w:rsidRPr="0099371F" w:rsidRDefault="00FE3B13" w:rsidP="006C0BE0">
      <w:pPr>
        <w:spacing w:before="120" w:after="120" w:line="300" w:lineRule="exact"/>
        <w:ind w:left="5760" w:firstLine="720"/>
        <w:rPr>
          <w:rFonts w:ascii="Times New Roman" w:hAnsi="Times New Roman" w:cs="Times New Roman"/>
          <w:sz w:val="26"/>
          <w:szCs w:val="26"/>
        </w:rPr>
      </w:pPr>
    </w:p>
    <w:sectPr w:rsidR="00FE3B13" w:rsidRPr="009937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5B02" w14:textId="77777777" w:rsidR="00D0493C" w:rsidRDefault="00D0493C" w:rsidP="00D0493C">
      <w:pPr>
        <w:spacing w:after="0" w:line="240" w:lineRule="auto"/>
      </w:pPr>
      <w:r>
        <w:separator/>
      </w:r>
    </w:p>
  </w:endnote>
  <w:endnote w:type="continuationSeparator" w:id="0">
    <w:p w14:paraId="79E0B25D" w14:textId="77777777" w:rsidR="00D0493C" w:rsidRDefault="00D0493C" w:rsidP="00D0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2053" w14:textId="77777777" w:rsidR="00D0493C" w:rsidRDefault="00D0493C" w:rsidP="00D0493C">
      <w:pPr>
        <w:spacing w:after="0" w:line="240" w:lineRule="auto"/>
      </w:pPr>
      <w:r>
        <w:separator/>
      </w:r>
    </w:p>
  </w:footnote>
  <w:footnote w:type="continuationSeparator" w:id="0">
    <w:p w14:paraId="74E32A28" w14:textId="77777777" w:rsidR="00D0493C" w:rsidRDefault="00D0493C" w:rsidP="00D0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31F9" w14:textId="3227A90E" w:rsidR="00D0493C" w:rsidRDefault="00D0493C">
    <w:pPr>
      <w:pStyle w:val="Header"/>
    </w:pP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D542E" wp14:editId="2F48F324">
              <wp:simplePos x="0" y="0"/>
              <wp:positionH relativeFrom="margin">
                <wp:posOffset>5669280</wp:posOffset>
              </wp:positionH>
              <wp:positionV relativeFrom="paragraph">
                <wp:posOffset>-87630</wp:posOffset>
              </wp:positionV>
              <wp:extent cx="826770" cy="307340"/>
              <wp:effectExtent l="19050" t="19050" r="11430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770" cy="307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BF3C" w14:textId="77777777" w:rsidR="00D0493C" w:rsidRPr="00D0493C" w:rsidRDefault="00D0493C" w:rsidP="00D0493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0493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Dự</w:t>
                          </w:r>
                          <w:proofErr w:type="spellEnd"/>
                          <w:r w:rsidRPr="00D0493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D0493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thảo</w:t>
                          </w:r>
                          <w:proofErr w:type="spellEnd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D54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6.4pt;margin-top:-6.9pt;width:65.1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" fillcolor="white [3201]" strokeweight="2.25pt">
              <v:textbox>
                <w:txbxContent>
                  <w:p w14:paraId="60C3BF3C" w14:textId="77777777" w:rsidR="00D0493C" w:rsidRPr="00D0493C" w:rsidRDefault="00D0493C" w:rsidP="00D0493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D0493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Dự thảo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8A2"/>
    <w:multiLevelType w:val="hybridMultilevel"/>
    <w:tmpl w:val="7E5889E4"/>
    <w:lvl w:ilvl="0" w:tplc="A9D6F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7400"/>
    <w:multiLevelType w:val="multilevel"/>
    <w:tmpl w:val="D0A61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8D2444B"/>
    <w:multiLevelType w:val="hybridMultilevel"/>
    <w:tmpl w:val="360A66EC"/>
    <w:lvl w:ilvl="0" w:tplc="C02CD0BC">
      <w:start w:val="5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76C12"/>
    <w:multiLevelType w:val="hybridMultilevel"/>
    <w:tmpl w:val="D9FAC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50503"/>
    <w:multiLevelType w:val="hybridMultilevel"/>
    <w:tmpl w:val="DF6A8A60"/>
    <w:lvl w:ilvl="0" w:tplc="EC5C2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39038">
    <w:abstractNumId w:val="4"/>
  </w:num>
  <w:num w:numId="2" w16cid:durableId="1360929957">
    <w:abstractNumId w:val="1"/>
  </w:num>
  <w:num w:numId="3" w16cid:durableId="2438199">
    <w:abstractNumId w:val="2"/>
  </w:num>
  <w:num w:numId="4" w16cid:durableId="159544221">
    <w:abstractNumId w:val="0"/>
  </w:num>
  <w:num w:numId="5" w16cid:durableId="109820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95"/>
    <w:rsid w:val="00016721"/>
    <w:rsid w:val="000344F7"/>
    <w:rsid w:val="00035680"/>
    <w:rsid w:val="00071CFD"/>
    <w:rsid w:val="00087607"/>
    <w:rsid w:val="00096E6F"/>
    <w:rsid w:val="000A76B8"/>
    <w:rsid w:val="000B7FC6"/>
    <w:rsid w:val="000D05E0"/>
    <w:rsid w:val="000F5E53"/>
    <w:rsid w:val="00101C72"/>
    <w:rsid w:val="00111FF9"/>
    <w:rsid w:val="00140C76"/>
    <w:rsid w:val="00144D83"/>
    <w:rsid w:val="001468A2"/>
    <w:rsid w:val="00147B68"/>
    <w:rsid w:val="001512E4"/>
    <w:rsid w:val="00157727"/>
    <w:rsid w:val="001871F8"/>
    <w:rsid w:val="001A2FCD"/>
    <w:rsid w:val="00210D08"/>
    <w:rsid w:val="00306721"/>
    <w:rsid w:val="00310327"/>
    <w:rsid w:val="00315BCF"/>
    <w:rsid w:val="0031731A"/>
    <w:rsid w:val="00322347"/>
    <w:rsid w:val="003372E5"/>
    <w:rsid w:val="003772A2"/>
    <w:rsid w:val="003979CF"/>
    <w:rsid w:val="003C0C09"/>
    <w:rsid w:val="0041480E"/>
    <w:rsid w:val="0041591A"/>
    <w:rsid w:val="004256B4"/>
    <w:rsid w:val="00442E8F"/>
    <w:rsid w:val="00447FBD"/>
    <w:rsid w:val="00476D86"/>
    <w:rsid w:val="00496DB0"/>
    <w:rsid w:val="004A5337"/>
    <w:rsid w:val="004C511D"/>
    <w:rsid w:val="004C62A0"/>
    <w:rsid w:val="004E0782"/>
    <w:rsid w:val="00510D33"/>
    <w:rsid w:val="005538C3"/>
    <w:rsid w:val="00561DFE"/>
    <w:rsid w:val="00583CCF"/>
    <w:rsid w:val="00593028"/>
    <w:rsid w:val="005A4D4A"/>
    <w:rsid w:val="00611443"/>
    <w:rsid w:val="00616017"/>
    <w:rsid w:val="00640599"/>
    <w:rsid w:val="00681CD7"/>
    <w:rsid w:val="006A12A4"/>
    <w:rsid w:val="006C0BE0"/>
    <w:rsid w:val="006C3B15"/>
    <w:rsid w:val="00745C16"/>
    <w:rsid w:val="007955EB"/>
    <w:rsid w:val="007C2595"/>
    <w:rsid w:val="007F589B"/>
    <w:rsid w:val="00800328"/>
    <w:rsid w:val="00806BA3"/>
    <w:rsid w:val="00817135"/>
    <w:rsid w:val="00831F58"/>
    <w:rsid w:val="008A2570"/>
    <w:rsid w:val="008D160C"/>
    <w:rsid w:val="008E5CC2"/>
    <w:rsid w:val="008F1A2E"/>
    <w:rsid w:val="00924F79"/>
    <w:rsid w:val="00954C7D"/>
    <w:rsid w:val="00970D8B"/>
    <w:rsid w:val="0099371F"/>
    <w:rsid w:val="009A214F"/>
    <w:rsid w:val="009C318C"/>
    <w:rsid w:val="009D1D89"/>
    <w:rsid w:val="00A04CFB"/>
    <w:rsid w:val="00A40333"/>
    <w:rsid w:val="00A6277A"/>
    <w:rsid w:val="00AE4292"/>
    <w:rsid w:val="00AE7981"/>
    <w:rsid w:val="00B626EF"/>
    <w:rsid w:val="00B71CDB"/>
    <w:rsid w:val="00BD02BB"/>
    <w:rsid w:val="00BE2622"/>
    <w:rsid w:val="00C15F79"/>
    <w:rsid w:val="00C32B0F"/>
    <w:rsid w:val="00C83D78"/>
    <w:rsid w:val="00CA2D90"/>
    <w:rsid w:val="00CA3639"/>
    <w:rsid w:val="00CF3D27"/>
    <w:rsid w:val="00D0145D"/>
    <w:rsid w:val="00D0493C"/>
    <w:rsid w:val="00D6495C"/>
    <w:rsid w:val="00DC66D7"/>
    <w:rsid w:val="00E2556A"/>
    <w:rsid w:val="00E30CC2"/>
    <w:rsid w:val="00E5792B"/>
    <w:rsid w:val="00E63966"/>
    <w:rsid w:val="00E7304B"/>
    <w:rsid w:val="00F20B81"/>
    <w:rsid w:val="00F41C7D"/>
    <w:rsid w:val="00F84A4C"/>
    <w:rsid w:val="00FA44E7"/>
    <w:rsid w:val="00FB39E8"/>
    <w:rsid w:val="00FE3B13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2160A33E"/>
  <w15:chartTrackingRefBased/>
  <w15:docId w15:val="{890339B2-018F-4306-983B-69A6577F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C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22347"/>
  </w:style>
  <w:style w:type="character" w:customStyle="1" w:styleId="eop">
    <w:name w:val="eop"/>
    <w:basedOn w:val="DefaultParagraphFont"/>
    <w:rsid w:val="00322347"/>
  </w:style>
  <w:style w:type="paragraph" w:customStyle="1" w:styleId="paragraph">
    <w:name w:val="paragraph"/>
    <w:basedOn w:val="Normal"/>
    <w:rsid w:val="0032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322347"/>
  </w:style>
  <w:style w:type="paragraph" w:styleId="Revision">
    <w:name w:val="Revision"/>
    <w:hidden/>
    <w:uiPriority w:val="99"/>
    <w:semiHidden/>
    <w:rsid w:val="00111F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3C"/>
  </w:style>
  <w:style w:type="paragraph" w:styleId="Footer">
    <w:name w:val="footer"/>
    <w:basedOn w:val="Normal"/>
    <w:link w:val="FooterChar"/>
    <w:uiPriority w:val="99"/>
    <w:unhideWhenUsed/>
    <w:rsid w:val="00D0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B0D4A-BF32-48ED-AAF8-301D44DE2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2D087-7624-4DF8-93F3-7135C0FEC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BF7AB-009B-4DB6-8339-8B7B101F51F7}">
  <ds:schemaRefs>
    <ds:schemaRef ds:uri="92513791-81de-48ee-ac79-200c951880f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caff182-97fa-4936-aef8-a146b51f944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VBP Nguyễn Thị Xuân</dc:creator>
  <cp:keywords/>
  <dc:description/>
  <cp:lastModifiedBy>VBP Lương Thị Hiền</cp:lastModifiedBy>
  <cp:revision>6</cp:revision>
  <cp:lastPrinted>2025-05-23T09:00:00Z</cp:lastPrinted>
  <dcterms:created xsi:type="dcterms:W3CDTF">2025-07-01T09:56:00Z</dcterms:created>
  <dcterms:modified xsi:type="dcterms:W3CDTF">2025-07-02T08:45:00Z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