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7A43" w14:textId="2C95FE15" w:rsidR="00F20B81" w:rsidRPr="00800328" w:rsidRDefault="00800328" w:rsidP="00800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328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14143D3" w14:textId="5A7C2B01" w:rsidR="00800328" w:rsidRPr="00800328" w:rsidRDefault="00800328" w:rsidP="00800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688AA951" w14:textId="3190E2FF" w:rsidR="00800328" w:rsidRPr="00800328" w:rsidRDefault="00800328" w:rsidP="00800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328">
        <w:rPr>
          <w:rFonts w:ascii="Times New Roman" w:hAnsi="Times New Roman" w:cs="Times New Roman"/>
          <w:sz w:val="24"/>
          <w:szCs w:val="24"/>
        </w:rPr>
        <w:t>---***---</w:t>
      </w:r>
    </w:p>
    <w:p w14:paraId="1E6113B3" w14:textId="2B0E4163" w:rsidR="00800328" w:rsidRPr="00C32B0F" w:rsidRDefault="00800328" w:rsidP="0080032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Hà </w:t>
      </w:r>
      <w:proofErr w:type="spellStart"/>
      <w:r w:rsidRPr="00C32B0F">
        <w:rPr>
          <w:rFonts w:ascii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C7D" w:rsidRPr="00C32B0F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6BA3" w:rsidRPr="00C32B0F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954C7D" w:rsidRPr="00C32B0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954C7D" w:rsidRPr="00C32B0F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5C56CD7F" w14:textId="77777777" w:rsidR="00800328" w:rsidRPr="00800328" w:rsidRDefault="00800328" w:rsidP="00800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32AFB" w14:textId="1D054922" w:rsidR="00800328" w:rsidRPr="00C32B0F" w:rsidRDefault="00800328" w:rsidP="008003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2B0F">
        <w:rPr>
          <w:rFonts w:ascii="Times New Roman" w:hAnsi="Times New Roman" w:cs="Times New Roman"/>
          <w:b/>
          <w:bCs/>
          <w:sz w:val="26"/>
          <w:szCs w:val="26"/>
        </w:rPr>
        <w:t xml:space="preserve">BÁO CÁO HOẠT ĐỘNG </w:t>
      </w:r>
      <w:r w:rsidR="004256B4" w:rsidRPr="00C32B0F">
        <w:rPr>
          <w:rFonts w:ascii="Times New Roman" w:hAnsi="Times New Roman" w:cs="Times New Roman"/>
          <w:b/>
          <w:bCs/>
          <w:sz w:val="26"/>
          <w:szCs w:val="26"/>
        </w:rPr>
        <w:t>CỦA THÀNH VIÊN ĐỘC LẬP HỘI ĐỒNG QUẢN TRỊ TRONG ỦY BAN KIỂM TOÁN NĂM 2022</w:t>
      </w:r>
    </w:p>
    <w:p w14:paraId="652FB00C" w14:textId="77777777" w:rsidR="00800328" w:rsidRPr="00800328" w:rsidRDefault="00800328" w:rsidP="008003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4192" w14:textId="4D42F39D" w:rsidR="00800328" w:rsidRPr="00800328" w:rsidRDefault="00800328" w:rsidP="0080032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thưa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quý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đông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ty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đoàn</w:t>
      </w:r>
      <w:proofErr w:type="spellEnd"/>
      <w:r w:rsidRPr="0080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b/>
          <w:bCs/>
          <w:sz w:val="24"/>
          <w:szCs w:val="24"/>
        </w:rPr>
        <w:t>HiPT</w:t>
      </w:r>
      <w:proofErr w:type="spellEnd"/>
    </w:p>
    <w:p w14:paraId="07966068" w14:textId="157C80F4" w:rsidR="00800328" w:rsidRPr="00800328" w:rsidRDefault="00800328" w:rsidP="008003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646BD13A" w14:textId="712A22FA" w:rsidR="00800328" w:rsidRPr="00800328" w:rsidRDefault="00800328" w:rsidP="00800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lệ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ty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đoàn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HiPT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ty);</w:t>
      </w:r>
    </w:p>
    <w:p w14:paraId="788CC063" w14:textId="0195FE70" w:rsidR="00800328" w:rsidRPr="00800328" w:rsidRDefault="00800328" w:rsidP="00800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Quy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tổ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hoạt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4C7D">
        <w:rPr>
          <w:rFonts w:ascii="Times New Roman" w:hAnsi="Times New Roman" w:cs="Times New Roman"/>
          <w:i/>
          <w:iCs/>
          <w:sz w:val="24"/>
          <w:szCs w:val="24"/>
        </w:rPr>
        <w:t>Ủy</w:t>
      </w:r>
      <w:proofErr w:type="spellEnd"/>
      <w:r w:rsidR="00954C7D">
        <w:rPr>
          <w:rFonts w:ascii="Times New Roman" w:hAnsi="Times New Roman" w:cs="Times New Roman"/>
          <w:i/>
          <w:iCs/>
          <w:sz w:val="24"/>
          <w:szCs w:val="24"/>
        </w:rPr>
        <w:t xml:space="preserve"> ban </w:t>
      </w:r>
      <w:proofErr w:type="spellStart"/>
      <w:r w:rsidR="00954C7D">
        <w:rPr>
          <w:rFonts w:ascii="Times New Roman" w:hAnsi="Times New Roman" w:cs="Times New Roman"/>
          <w:i/>
          <w:iCs/>
          <w:sz w:val="24"/>
          <w:szCs w:val="24"/>
        </w:rPr>
        <w:t>kiểm</w:t>
      </w:r>
      <w:proofErr w:type="spellEnd"/>
      <w:r w:rsidR="00954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4C7D">
        <w:rPr>
          <w:rFonts w:ascii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ty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đoàn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328">
        <w:rPr>
          <w:rFonts w:ascii="Times New Roman" w:hAnsi="Times New Roman" w:cs="Times New Roman"/>
          <w:i/>
          <w:iCs/>
          <w:sz w:val="24"/>
          <w:szCs w:val="24"/>
        </w:rPr>
        <w:t>HiPT</w:t>
      </w:r>
      <w:proofErr w:type="spellEnd"/>
      <w:r w:rsidRPr="0080032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9FA3457" w14:textId="0F033CD5" w:rsidR="00800328" w:rsidRPr="00800328" w:rsidRDefault="00800328" w:rsidP="008003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Báo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cáo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ty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đoàn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HiPT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kiểm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0327">
        <w:rPr>
          <w:rFonts w:ascii="Times New Roman" w:hAnsi="Times New Roman" w:cs="Times New Roman"/>
          <w:i/>
          <w:iCs/>
          <w:sz w:val="24"/>
          <w:szCs w:val="24"/>
        </w:rPr>
        <w:t>bởi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0327" w:rsidRPr="00310327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="00310327"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ty TNHH </w:t>
      </w:r>
      <w:proofErr w:type="spellStart"/>
      <w:r w:rsidR="00310327" w:rsidRPr="00310327">
        <w:rPr>
          <w:rFonts w:ascii="Times New Roman" w:hAnsi="Times New Roman" w:cs="Times New Roman"/>
          <w:i/>
          <w:iCs/>
          <w:sz w:val="24"/>
          <w:szCs w:val="24"/>
        </w:rPr>
        <w:t>Kiểm</w:t>
      </w:r>
      <w:proofErr w:type="spellEnd"/>
      <w:r w:rsidR="00310327"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0327" w:rsidRPr="00310327">
        <w:rPr>
          <w:rFonts w:ascii="Times New Roman" w:hAnsi="Times New Roman" w:cs="Times New Roman"/>
          <w:i/>
          <w:iCs/>
          <w:sz w:val="24"/>
          <w:szCs w:val="24"/>
        </w:rPr>
        <w:t>toán</w:t>
      </w:r>
      <w:proofErr w:type="spellEnd"/>
      <w:r w:rsidR="00310327" w:rsidRPr="00310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C7D">
        <w:rPr>
          <w:rFonts w:ascii="Times New Roman" w:hAnsi="Times New Roman" w:cs="Times New Roman"/>
          <w:i/>
          <w:iCs/>
          <w:sz w:val="24"/>
          <w:szCs w:val="24"/>
        </w:rPr>
        <w:t xml:space="preserve">AFC </w:t>
      </w:r>
      <w:proofErr w:type="spellStart"/>
      <w:r w:rsidR="00954C7D">
        <w:rPr>
          <w:rFonts w:ascii="Times New Roman" w:hAnsi="Times New Roman" w:cs="Times New Roman"/>
          <w:i/>
          <w:iCs/>
          <w:sz w:val="24"/>
          <w:szCs w:val="24"/>
        </w:rPr>
        <w:t>Việt</w:t>
      </w:r>
      <w:proofErr w:type="spellEnd"/>
      <w:r w:rsidR="00954C7D">
        <w:rPr>
          <w:rFonts w:ascii="Times New Roman" w:hAnsi="Times New Roman" w:cs="Times New Roman"/>
          <w:i/>
          <w:iCs/>
          <w:sz w:val="24"/>
          <w:szCs w:val="24"/>
        </w:rPr>
        <w:t xml:space="preserve"> Nam – Chi </w:t>
      </w:r>
      <w:proofErr w:type="spellStart"/>
      <w:r w:rsidR="00954C7D">
        <w:rPr>
          <w:rFonts w:ascii="Times New Roman" w:hAnsi="Times New Roman" w:cs="Times New Roman"/>
          <w:i/>
          <w:iCs/>
          <w:sz w:val="24"/>
          <w:szCs w:val="24"/>
        </w:rPr>
        <w:t>nhánh</w:t>
      </w:r>
      <w:proofErr w:type="spellEnd"/>
      <w:r w:rsidR="00954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4C7D">
        <w:rPr>
          <w:rFonts w:ascii="Times New Roman" w:hAnsi="Times New Roman" w:cs="Times New Roman"/>
          <w:i/>
          <w:iCs/>
          <w:sz w:val="24"/>
          <w:szCs w:val="24"/>
        </w:rPr>
        <w:t>phía</w:t>
      </w:r>
      <w:proofErr w:type="spellEnd"/>
      <w:r w:rsidR="00954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4C7D">
        <w:rPr>
          <w:rFonts w:ascii="Times New Roman" w:hAnsi="Times New Roman" w:cs="Times New Roman"/>
          <w:i/>
          <w:iCs/>
          <w:sz w:val="24"/>
          <w:szCs w:val="24"/>
        </w:rPr>
        <w:t>Bắc</w:t>
      </w:r>
      <w:proofErr w:type="spellEnd"/>
      <w:r w:rsidRPr="0031032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F6E3D0B" w14:textId="77777777" w:rsidR="004256B4" w:rsidRDefault="004256B4" w:rsidP="008003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72F57" w14:textId="4C2C5108" w:rsidR="00800328" w:rsidRPr="00C32B0F" w:rsidRDefault="00954C7D" w:rsidP="008003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(</w:t>
      </w:r>
      <w:r w:rsidRPr="00C32B0F">
        <w:rPr>
          <w:rFonts w:ascii="Times New Roman" w:hAnsi="Times New Roman" w:cs="Times New Roman"/>
          <w:sz w:val="24"/>
          <w:szCs w:val="24"/>
        </w:rPr>
        <w:t>UBKT</w:t>
      </w:r>
      <w:r w:rsidR="00800328" w:rsidRPr="00C32B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202</w:t>
      </w:r>
      <w:r w:rsidRPr="00C32B0F">
        <w:rPr>
          <w:rFonts w:ascii="Times New Roman" w:hAnsi="Times New Roman" w:cs="Times New Roman"/>
          <w:sz w:val="24"/>
          <w:szCs w:val="24"/>
        </w:rPr>
        <w:t>3</w:t>
      </w:r>
      <w:r w:rsidR="00071CFD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20</w:t>
      </w:r>
      <w:r w:rsidR="003979CF" w:rsidRPr="00C32B0F">
        <w:rPr>
          <w:rFonts w:ascii="Times New Roman" w:hAnsi="Times New Roman" w:cs="Times New Roman"/>
          <w:sz w:val="24"/>
          <w:szCs w:val="24"/>
        </w:rPr>
        <w:t>2</w:t>
      </w:r>
      <w:r w:rsidRPr="00C32B0F">
        <w:rPr>
          <w:rFonts w:ascii="Times New Roman" w:hAnsi="Times New Roman" w:cs="Times New Roman"/>
          <w:sz w:val="24"/>
          <w:szCs w:val="24"/>
        </w:rPr>
        <w:t>3</w:t>
      </w:r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>:</w:t>
      </w:r>
    </w:p>
    <w:p w14:paraId="64FA8182" w14:textId="25F85D91" w:rsidR="00800328" w:rsidRPr="00C32B0F" w:rsidRDefault="00800328" w:rsidP="004256B4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 w:line="300" w:lineRule="exact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C7D" w:rsidRPr="00C32B0F">
        <w:rPr>
          <w:rFonts w:ascii="Times New Roman" w:hAnsi="Times New Roman" w:cs="Times New Roman"/>
          <w:b/>
          <w:bCs/>
          <w:sz w:val="24"/>
          <w:szCs w:val="24"/>
        </w:rPr>
        <w:t>UBKT</w:t>
      </w:r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E0782" w:rsidRPr="00C32B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4C7D" w:rsidRPr="00C32B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914CDE2" w14:textId="38B1070D" w:rsidR="00800328" w:rsidRPr="00C32B0F" w:rsidRDefault="006C3B15" w:rsidP="00800328">
      <w:pPr>
        <w:pStyle w:val="ListParagraph"/>
        <w:spacing w:before="120" w:after="120" w:line="300" w:lineRule="exac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t xml:space="preserve">Thông tin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UBKT</w:t>
      </w:r>
      <w:r w:rsidR="00800328" w:rsidRPr="00C32B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594"/>
        <w:gridCol w:w="2975"/>
        <w:gridCol w:w="3056"/>
      </w:tblGrid>
      <w:tr w:rsidR="006C3B15" w:rsidRPr="00C32B0F" w14:paraId="060F9E2B" w14:textId="77777777" w:rsidTr="006C3B15">
        <w:trPr>
          <w:trHeight w:val="317"/>
        </w:trPr>
        <w:tc>
          <w:tcPr>
            <w:tcW w:w="388" w:type="pct"/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543CE5" w14:textId="77777777" w:rsidR="006C3B15" w:rsidRPr="00C32B0F" w:rsidRDefault="006C3B15" w:rsidP="00C667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387" w:type="pct"/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B0FC80" w14:textId="77777777" w:rsidR="006C3B15" w:rsidRPr="00C32B0F" w:rsidRDefault="006C3B15" w:rsidP="00C667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Thành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Ủy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591" w:type="pct"/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D39624" w14:textId="77777777" w:rsidR="006C3B15" w:rsidRPr="00C32B0F" w:rsidRDefault="006C3B15" w:rsidP="00C667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634" w:type="pct"/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339C2C" w14:textId="77777777" w:rsidR="006C3B15" w:rsidRPr="00C32B0F" w:rsidRDefault="006C3B15" w:rsidP="00C667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là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Ủy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toán</w:t>
            </w:r>
            <w:proofErr w:type="spellEnd"/>
          </w:p>
        </w:tc>
      </w:tr>
      <w:tr w:rsidR="006C3B15" w:rsidRPr="00C32B0F" w14:paraId="11600076" w14:textId="77777777" w:rsidTr="006C3B15">
        <w:tc>
          <w:tcPr>
            <w:tcW w:w="38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339B95" w14:textId="77777777" w:rsidR="006C3B15" w:rsidRPr="00C32B0F" w:rsidRDefault="006C3B15" w:rsidP="00C66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E4734D" w14:textId="77777777" w:rsidR="006C3B15" w:rsidRPr="00C32B0F" w:rsidRDefault="006C3B15" w:rsidP="00C66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</w:p>
        </w:tc>
        <w:tc>
          <w:tcPr>
            <w:tcW w:w="159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283873" w14:textId="77777777" w:rsidR="006C3B15" w:rsidRPr="00C32B0F" w:rsidRDefault="006C3B15" w:rsidP="00C66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0A67C5" w14:textId="77777777" w:rsidR="006C3B15" w:rsidRPr="00C32B0F" w:rsidRDefault="006C3B15" w:rsidP="00C66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23/05/2022</w:t>
            </w:r>
          </w:p>
        </w:tc>
      </w:tr>
      <w:tr w:rsidR="006C3B15" w:rsidRPr="00C32B0F" w14:paraId="55B7008F" w14:textId="77777777" w:rsidTr="006C3B15">
        <w:tc>
          <w:tcPr>
            <w:tcW w:w="38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FE5FDF" w14:textId="77777777" w:rsidR="006C3B15" w:rsidRPr="00C32B0F" w:rsidRDefault="006C3B15" w:rsidP="00C66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B0BFE8" w14:textId="77777777" w:rsidR="006C3B15" w:rsidRPr="00C32B0F" w:rsidRDefault="006C3B15" w:rsidP="00C667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C3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C3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Hoàng Giang </w:t>
            </w:r>
          </w:p>
        </w:tc>
        <w:tc>
          <w:tcPr>
            <w:tcW w:w="159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BF1593" w14:textId="77777777" w:rsidR="006C3B15" w:rsidRPr="00C32B0F" w:rsidRDefault="006C3B15" w:rsidP="00C66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C32B0F">
              <w:rPr>
                <w:rFonts w:ascii="Times New Roman" w:hAnsi="Times New Roman" w:cs="Times New Roman"/>
                <w:sz w:val="24"/>
                <w:szCs w:val="24"/>
              </w:rPr>
              <w:t xml:space="preserve"> Viên</w:t>
            </w:r>
          </w:p>
        </w:tc>
        <w:tc>
          <w:tcPr>
            <w:tcW w:w="16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AB90A1" w14:textId="77777777" w:rsidR="006C3B15" w:rsidRPr="00C32B0F" w:rsidRDefault="006C3B15" w:rsidP="00C667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23/05/2022</w:t>
            </w:r>
          </w:p>
        </w:tc>
      </w:tr>
    </w:tbl>
    <w:p w14:paraId="03EA8119" w14:textId="7D46DBA4" w:rsidR="006C3B15" w:rsidRPr="00C32B0F" w:rsidRDefault="00322347" w:rsidP="00800328">
      <w:pPr>
        <w:pStyle w:val="ListParagraph"/>
        <w:spacing w:before="120" w:after="120" w:line="300" w:lineRule="exac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UBKT:</w:t>
      </w: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60"/>
        <w:gridCol w:w="1717"/>
        <w:gridCol w:w="1350"/>
        <w:gridCol w:w="1350"/>
        <w:gridCol w:w="2018"/>
      </w:tblGrid>
      <w:tr w:rsidR="00322347" w:rsidRPr="00C32B0F" w14:paraId="1DDD03DA" w14:textId="77777777" w:rsidTr="00C66789">
        <w:trPr>
          <w:trHeight w:val="66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CA3DDC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Stt</w:t>
            </w:r>
            <w:proofErr w:type="spellEnd"/>
            <w:r w:rsidRPr="00C32B0F">
              <w:rPr>
                <w:rStyle w:val="eop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FB3FC1D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32B0F">
              <w:rPr>
                <w:b/>
                <w:bCs/>
                <w:color w:val="000000"/>
              </w:rPr>
              <w:t xml:space="preserve">Thành </w:t>
            </w:r>
            <w:proofErr w:type="spellStart"/>
            <w:r w:rsidRPr="00C32B0F">
              <w:rPr>
                <w:b/>
                <w:bCs/>
                <w:color w:val="000000"/>
              </w:rPr>
              <w:t>viên</w:t>
            </w:r>
            <w:proofErr w:type="spellEnd"/>
            <w:r w:rsidRPr="00C32B0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b/>
                <w:bCs/>
                <w:color w:val="000000"/>
              </w:rPr>
              <w:t>Ủy</w:t>
            </w:r>
            <w:proofErr w:type="spellEnd"/>
            <w:r w:rsidRPr="00C32B0F">
              <w:rPr>
                <w:b/>
                <w:bCs/>
                <w:color w:val="000000"/>
              </w:rPr>
              <w:t xml:space="preserve"> ban </w:t>
            </w:r>
            <w:proofErr w:type="spellStart"/>
            <w:r w:rsidRPr="00C32B0F">
              <w:rPr>
                <w:b/>
                <w:bCs/>
                <w:color w:val="000000"/>
              </w:rPr>
              <w:t>kiểm</w:t>
            </w:r>
            <w:proofErr w:type="spellEnd"/>
            <w:r w:rsidRPr="00C32B0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b/>
                <w:bCs/>
                <w:color w:val="000000"/>
              </w:rPr>
              <w:t>toán</w:t>
            </w:r>
            <w:proofErr w:type="spellEnd"/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6DB9A30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Số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buổi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họp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tham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dự</w:t>
            </w:r>
            <w:proofErr w:type="spellEnd"/>
            <w:r w:rsidRPr="00C32B0F">
              <w:rPr>
                <w:rStyle w:val="eop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1B6D903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Tỷ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lệ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tham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dự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họp</w:t>
            </w:r>
            <w:proofErr w:type="spellEnd"/>
            <w:r w:rsidRPr="00C32B0F">
              <w:rPr>
                <w:rStyle w:val="eop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B01D0F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Tỷ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lệ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biểu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quyết</w:t>
            </w:r>
            <w:proofErr w:type="spellEnd"/>
            <w:r w:rsidRPr="00C32B0F">
              <w:rPr>
                <w:rStyle w:val="eop"/>
                <w:color w:val="000000"/>
              </w:rPr>
              <w:t> 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557A18A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32B0F">
              <w:rPr>
                <w:rStyle w:val="normaltextrun"/>
                <w:b/>
                <w:bCs/>
                <w:color w:val="000000"/>
              </w:rPr>
              <w:t xml:space="preserve">Lý do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không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tham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dự</w:t>
            </w:r>
            <w:proofErr w:type="spellEnd"/>
            <w:r w:rsidRPr="00C32B0F">
              <w:rPr>
                <w:rStyle w:val="normaltextrun"/>
                <w:b/>
                <w:bCs/>
                <w:color w:val="000000"/>
              </w:rPr>
              <w:t xml:space="preserve"> </w:t>
            </w:r>
            <w:proofErr w:type="spellStart"/>
            <w:r w:rsidRPr="00C32B0F">
              <w:rPr>
                <w:rStyle w:val="spellingerror"/>
                <w:b/>
                <w:bCs/>
                <w:color w:val="000000"/>
              </w:rPr>
              <w:t>họp</w:t>
            </w:r>
            <w:proofErr w:type="spellEnd"/>
            <w:r w:rsidRPr="00C32B0F">
              <w:rPr>
                <w:rStyle w:val="eop"/>
                <w:color w:val="000000"/>
              </w:rPr>
              <w:t> </w:t>
            </w:r>
          </w:p>
        </w:tc>
      </w:tr>
      <w:tr w:rsidR="00322347" w:rsidRPr="00C32B0F" w14:paraId="79322ADA" w14:textId="77777777" w:rsidTr="00C667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97812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32B0F">
              <w:rPr>
                <w:rStyle w:val="normaltextrun"/>
              </w:rPr>
              <w:t>1</w:t>
            </w:r>
            <w:r w:rsidRPr="00C32B0F">
              <w:rPr>
                <w:rStyle w:val="eop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01505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32B0F">
              <w:t>Bà</w:t>
            </w:r>
            <w:proofErr w:type="spellEnd"/>
            <w:r w:rsidRPr="00C32B0F">
              <w:t xml:space="preserve"> </w:t>
            </w:r>
            <w:proofErr w:type="spellStart"/>
            <w:r w:rsidRPr="00C32B0F">
              <w:t>Đỗ</w:t>
            </w:r>
            <w:proofErr w:type="spellEnd"/>
            <w:r w:rsidRPr="00C32B0F">
              <w:t xml:space="preserve"> </w:t>
            </w:r>
            <w:proofErr w:type="spellStart"/>
            <w:r w:rsidRPr="00C32B0F">
              <w:t>Thị</w:t>
            </w:r>
            <w:proofErr w:type="spellEnd"/>
            <w:r w:rsidRPr="00C32B0F">
              <w:t xml:space="preserve"> Mai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3296C" w14:textId="623E280B" w:rsidR="00322347" w:rsidRPr="00C32B0F" w:rsidRDefault="00322347" w:rsidP="00C6678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C32B0F">
              <w:rPr>
                <w:rStyle w:val="eop"/>
              </w:rPr>
              <w:t>4 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8EE72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C32B0F">
              <w:rPr>
                <w:rStyle w:val="normaltextrun"/>
              </w:rPr>
              <w:t> 100%</w:t>
            </w:r>
            <w:r w:rsidRPr="00C32B0F">
              <w:rPr>
                <w:rStyle w:val="eop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07FEE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C32B0F">
              <w:rPr>
                <w:rStyle w:val="normaltextrun"/>
              </w:rPr>
              <w:t> 100%</w:t>
            </w:r>
            <w:r w:rsidRPr="00C32B0F">
              <w:rPr>
                <w:rStyle w:val="eop"/>
              </w:rPr>
              <w:t> 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89251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C32B0F">
              <w:rPr>
                <w:rStyle w:val="normaltextrun"/>
              </w:rPr>
              <w:t> </w:t>
            </w:r>
            <w:r w:rsidRPr="00C32B0F">
              <w:rPr>
                <w:rStyle w:val="eop"/>
              </w:rPr>
              <w:t> </w:t>
            </w:r>
          </w:p>
        </w:tc>
      </w:tr>
      <w:tr w:rsidR="00322347" w:rsidRPr="00C32B0F" w14:paraId="3434C991" w14:textId="77777777" w:rsidTr="00C667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2F019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32B0F">
              <w:rPr>
                <w:rStyle w:val="normaltextrun"/>
              </w:rPr>
              <w:t>2</w:t>
            </w:r>
            <w:r w:rsidRPr="00C32B0F">
              <w:rPr>
                <w:rStyle w:val="eop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E1AF25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32B0F">
              <w:rPr>
                <w:color w:val="000000"/>
              </w:rPr>
              <w:t>Ông</w:t>
            </w:r>
            <w:proofErr w:type="spellEnd"/>
            <w:r w:rsidRPr="00C32B0F">
              <w:rPr>
                <w:color w:val="000000"/>
              </w:rPr>
              <w:t xml:space="preserve"> </w:t>
            </w:r>
            <w:proofErr w:type="spellStart"/>
            <w:r w:rsidRPr="00C32B0F">
              <w:rPr>
                <w:color w:val="000000"/>
              </w:rPr>
              <w:t>Đặng</w:t>
            </w:r>
            <w:proofErr w:type="spellEnd"/>
            <w:r w:rsidRPr="00C32B0F">
              <w:rPr>
                <w:color w:val="000000"/>
              </w:rPr>
              <w:t xml:space="preserve"> Hoàng Giang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903E4" w14:textId="7563E59E" w:rsidR="00322347" w:rsidRPr="00C32B0F" w:rsidRDefault="00322347" w:rsidP="00C6678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C32B0F">
              <w:rPr>
                <w:rStyle w:val="eop"/>
              </w:rPr>
              <w:t>4 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73FC8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C32B0F">
              <w:rPr>
                <w:rStyle w:val="normaltextrun"/>
              </w:rPr>
              <w:t> 100%</w:t>
            </w:r>
            <w:r w:rsidRPr="00C32B0F">
              <w:rPr>
                <w:rStyle w:val="eop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C288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C32B0F">
              <w:rPr>
                <w:rStyle w:val="normaltextrun"/>
              </w:rPr>
              <w:t> 100%</w:t>
            </w:r>
            <w:r w:rsidRPr="00C32B0F">
              <w:rPr>
                <w:rStyle w:val="eop"/>
              </w:rPr>
              <w:t> 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1C44F" w14:textId="77777777" w:rsidR="00322347" w:rsidRPr="00C32B0F" w:rsidRDefault="00322347" w:rsidP="00C6678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C32B0F">
              <w:rPr>
                <w:rStyle w:val="normaltextrun"/>
              </w:rPr>
              <w:t> </w:t>
            </w:r>
            <w:r w:rsidRPr="00C32B0F">
              <w:rPr>
                <w:rStyle w:val="eop"/>
              </w:rPr>
              <w:t> </w:t>
            </w:r>
          </w:p>
        </w:tc>
      </w:tr>
    </w:tbl>
    <w:p w14:paraId="56CDF6D1" w14:textId="77777777" w:rsidR="006C3B15" w:rsidRPr="00C32B0F" w:rsidRDefault="006C3B15" w:rsidP="00800328">
      <w:pPr>
        <w:pStyle w:val="ListParagraph"/>
        <w:spacing w:before="120" w:after="120" w:line="300" w:lineRule="exac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900077" w14:textId="77777777" w:rsidR="00A40333" w:rsidRPr="00C32B0F" w:rsidRDefault="00A40333" w:rsidP="00800328">
      <w:pPr>
        <w:pStyle w:val="ListParagraph"/>
        <w:spacing w:before="120" w:after="120" w:line="300" w:lineRule="exac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869CF6" w14:textId="68E1C903" w:rsidR="00A40333" w:rsidRPr="00C32B0F" w:rsidRDefault="00A40333" w:rsidP="00800328">
      <w:pPr>
        <w:pStyle w:val="ListParagraph"/>
        <w:spacing w:before="120" w:after="120" w:line="300" w:lineRule="exac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lastRenderedPageBreak/>
        <w:t xml:space="preserve">Trong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qua,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>.</w:t>
      </w:r>
    </w:p>
    <w:p w14:paraId="5D62F502" w14:textId="49EAACA2" w:rsidR="00800328" w:rsidRPr="00C32B0F" w:rsidRDefault="00A40333" w:rsidP="00800328">
      <w:pPr>
        <w:pStyle w:val="ListParagraph"/>
        <w:spacing w:before="120" w:after="120" w:line="300" w:lineRule="exac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qua, </w:t>
      </w:r>
      <w:r w:rsidR="00954C7D" w:rsidRPr="00C32B0F">
        <w:rPr>
          <w:rFonts w:ascii="Times New Roman" w:hAnsi="Times New Roman" w:cs="Times New Roman"/>
          <w:sz w:val="24"/>
          <w:szCs w:val="24"/>
        </w:rPr>
        <w:t>UBKT</w:t>
      </w:r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21" w:rsidRPr="00C32B0F">
        <w:rPr>
          <w:rFonts w:ascii="Times New Roman" w:hAnsi="Times New Roman" w:cs="Times New Roman"/>
          <w:sz w:val="24"/>
          <w:szCs w:val="24"/>
        </w:rPr>
        <w:t>L</w:t>
      </w:r>
      <w:r w:rsidR="00800328" w:rsidRPr="00C32B0F">
        <w:rPr>
          <w:rFonts w:ascii="Times New Roman" w:hAnsi="Times New Roman" w:cs="Times New Roman"/>
          <w:sz w:val="24"/>
          <w:szCs w:val="24"/>
        </w:rPr>
        <w:t>uật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721" w:rsidRPr="00C32B0F">
        <w:rPr>
          <w:rFonts w:ascii="Times New Roman" w:hAnsi="Times New Roman" w:cs="Times New Roman"/>
          <w:sz w:val="24"/>
          <w:szCs w:val="24"/>
        </w:rPr>
        <w:t>Đ</w:t>
      </w:r>
      <w:r w:rsidR="00800328" w:rsidRPr="00C32B0F">
        <w:rPr>
          <w:rFonts w:ascii="Times New Roman" w:hAnsi="Times New Roman" w:cs="Times New Roman"/>
          <w:sz w:val="24"/>
          <w:szCs w:val="24"/>
        </w:rPr>
        <w:t>iều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r w:rsidR="00016721" w:rsidRPr="00C32B0F">
        <w:rPr>
          <w:rFonts w:ascii="Times New Roman" w:hAnsi="Times New Roman" w:cs="Times New Roman"/>
          <w:sz w:val="24"/>
          <w:szCs w:val="24"/>
        </w:rPr>
        <w:t>Q</w:t>
      </w:r>
      <w:r w:rsidR="00800328" w:rsidRPr="00C32B0F">
        <w:rPr>
          <w:rFonts w:ascii="Times New Roman" w:hAnsi="Times New Roman" w:cs="Times New Roman"/>
          <w:sz w:val="24"/>
          <w:szCs w:val="24"/>
        </w:rPr>
        <w:t xml:space="preserve">uy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r w:rsidR="00954C7D" w:rsidRPr="00C32B0F">
        <w:rPr>
          <w:rFonts w:ascii="Times New Roman" w:hAnsi="Times New Roman" w:cs="Times New Roman"/>
          <w:sz w:val="24"/>
          <w:szCs w:val="24"/>
        </w:rPr>
        <w:t>UBKT</w:t>
      </w:r>
      <w:r w:rsidR="00800328" w:rsidRPr="00C32B0F">
        <w:rPr>
          <w:rFonts w:ascii="Times New Roman" w:hAnsi="Times New Roman" w:cs="Times New Roman"/>
          <w:sz w:val="24"/>
          <w:szCs w:val="24"/>
        </w:rPr>
        <w:t>.</w:t>
      </w:r>
    </w:p>
    <w:p w14:paraId="0735404A" w14:textId="30A6DFD3" w:rsidR="00800328" w:rsidRPr="00C32B0F" w:rsidRDefault="00800328" w:rsidP="00800328">
      <w:pPr>
        <w:pStyle w:val="ListParagraph"/>
        <w:spacing w:before="120" w:after="120" w:line="300" w:lineRule="exac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016721" w:rsidRPr="00C32B0F">
        <w:rPr>
          <w:rFonts w:ascii="Times New Roman" w:hAnsi="Times New Roman" w:cs="Times New Roman"/>
          <w:sz w:val="24"/>
          <w:szCs w:val="24"/>
        </w:rPr>
        <w:t>,</w:t>
      </w:r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>:</w:t>
      </w:r>
    </w:p>
    <w:p w14:paraId="49F685C4" w14:textId="09A91CD8" w:rsidR="00800328" w:rsidRPr="00C32B0F" w:rsidRDefault="00800328" w:rsidP="00800328">
      <w:pPr>
        <w:pStyle w:val="ListParagraph"/>
        <w:numPr>
          <w:ilvl w:val="0"/>
          <w:numId w:val="1"/>
        </w:numPr>
        <w:spacing w:before="120" w:after="120" w:line="300" w:lineRule="exact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FE3B13" w:rsidRPr="00C32B0F">
        <w:rPr>
          <w:rFonts w:ascii="Times New Roman" w:hAnsi="Times New Roman" w:cs="Times New Roman"/>
          <w:sz w:val="24"/>
          <w:szCs w:val="24"/>
        </w:rPr>
        <w:t>.</w:t>
      </w:r>
    </w:p>
    <w:p w14:paraId="6D2ECBC3" w14:textId="37C42F56" w:rsidR="00800328" w:rsidRPr="00C32B0F" w:rsidRDefault="00800328" w:rsidP="00800328">
      <w:pPr>
        <w:pStyle w:val="ListParagraph"/>
        <w:numPr>
          <w:ilvl w:val="0"/>
          <w:numId w:val="1"/>
        </w:numPr>
        <w:spacing w:before="120" w:after="120" w:line="300" w:lineRule="exact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>.</w:t>
      </w:r>
    </w:p>
    <w:p w14:paraId="096FCDAE" w14:textId="09018DE5" w:rsidR="00800328" w:rsidRPr="00C32B0F" w:rsidRDefault="00157727" w:rsidP="00800328">
      <w:pPr>
        <w:pStyle w:val="ListParagraph"/>
        <w:numPr>
          <w:ilvl w:val="0"/>
          <w:numId w:val="1"/>
        </w:numPr>
        <w:spacing w:before="120" w:after="120" w:line="300" w:lineRule="exact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t>UBKT</w:t>
      </w:r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rà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ro</w:t>
      </w:r>
      <w:r w:rsidR="00800328" w:rsidRPr="00C32B0F">
        <w:rPr>
          <w:rFonts w:ascii="Times New Roman" w:hAnsi="Times New Roman" w:cs="Times New Roman"/>
          <w:sz w:val="24"/>
          <w:szCs w:val="24"/>
        </w:rPr>
        <w:t xml:space="preserve">. Qua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r w:rsidRPr="00C32B0F">
        <w:rPr>
          <w:rFonts w:ascii="Times New Roman" w:hAnsi="Times New Roman" w:cs="Times New Roman"/>
          <w:sz w:val="24"/>
          <w:szCs w:val="24"/>
        </w:rPr>
        <w:t>UBKT</w:t>
      </w:r>
      <w:r w:rsidR="00800328" w:rsidRPr="00C32B0F">
        <w:rPr>
          <w:rFonts w:ascii="Times New Roman" w:hAnsi="Times New Roman" w:cs="Times New Roman"/>
          <w:sz w:val="24"/>
          <w:szCs w:val="24"/>
        </w:rPr>
        <w:t xml:space="preserve"> đ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28" w:rsidRPr="00C32B0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800328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>;</w:t>
      </w:r>
    </w:p>
    <w:p w14:paraId="6037B9E3" w14:textId="125F0F8E" w:rsidR="00157727" w:rsidRPr="00C32B0F" w:rsidRDefault="00157727" w:rsidP="00800328">
      <w:pPr>
        <w:pStyle w:val="ListParagraph"/>
        <w:numPr>
          <w:ilvl w:val="0"/>
          <w:numId w:val="1"/>
        </w:numPr>
        <w:spacing w:before="120" w:after="120" w:line="300" w:lineRule="exact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qua</w:t>
      </w:r>
    </w:p>
    <w:p w14:paraId="30A76334" w14:textId="10AC8334" w:rsidR="004256B4" w:rsidRPr="00C32B0F" w:rsidRDefault="004256B4" w:rsidP="004256B4">
      <w:pPr>
        <w:pStyle w:val="ListParagraph"/>
        <w:numPr>
          <w:ilvl w:val="0"/>
          <w:numId w:val="4"/>
        </w:num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HĐQT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UBKT</w:t>
      </w:r>
    </w:p>
    <w:p w14:paraId="7A83E231" w14:textId="7B885388" w:rsidR="00FE3B13" w:rsidRPr="00C32B0F" w:rsidRDefault="004256B4" w:rsidP="004256B4">
      <w:pPr>
        <w:pStyle w:val="ListParagraph"/>
        <w:numPr>
          <w:ilvl w:val="0"/>
          <w:numId w:val="5"/>
        </w:num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Thù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lao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, chi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ích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khác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UBKT</w:t>
      </w:r>
    </w:p>
    <w:p w14:paraId="7AF4DAAD" w14:textId="6A2E2400" w:rsidR="004256B4" w:rsidRPr="00C32B0F" w:rsidRDefault="004256B4" w:rsidP="004256B4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UBKT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UBKT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qua.</w:t>
      </w:r>
    </w:p>
    <w:p w14:paraId="2617D206" w14:textId="38F268EA" w:rsidR="005538C3" w:rsidRPr="00C32B0F" w:rsidRDefault="005538C3" w:rsidP="004C62A0">
      <w:pPr>
        <w:pStyle w:val="ListParagraph"/>
        <w:numPr>
          <w:ilvl w:val="0"/>
          <w:numId w:val="5"/>
        </w:numPr>
        <w:spacing w:before="120" w:after="120" w:line="300" w:lineRule="exact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sát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tình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hình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tình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hình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ty:</w:t>
      </w:r>
    </w:p>
    <w:p w14:paraId="5CB7E8A6" w14:textId="58A1C3F0" w:rsidR="005538C3" w:rsidRPr="00C32B0F" w:rsidRDefault="005538C3" w:rsidP="005538C3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mực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>.</w:t>
      </w:r>
    </w:p>
    <w:p w14:paraId="00EDD7F1" w14:textId="7E250E1B" w:rsidR="005538C3" w:rsidRPr="00C32B0F" w:rsidRDefault="005538C3" w:rsidP="005538C3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lớn</w:t>
      </w:r>
      <w:proofErr w:type="spellEnd"/>
    </w:p>
    <w:p w14:paraId="5160543B" w14:textId="032FFE13" w:rsidR="005538C3" w:rsidRPr="00C32B0F" w:rsidRDefault="005538C3" w:rsidP="005538C3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>.</w:t>
      </w:r>
    </w:p>
    <w:p w14:paraId="2E14380E" w14:textId="200151E8" w:rsidR="005538C3" w:rsidRPr="00C32B0F" w:rsidRDefault="004C62A0" w:rsidP="005538C3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</w:t>
      </w:r>
      <w:r w:rsidR="005538C3" w:rsidRPr="00C32B0F">
        <w:rPr>
          <w:rFonts w:ascii="Times New Roman" w:hAnsi="Times New Roman" w:cs="Times New Roman"/>
          <w:sz w:val="24"/>
          <w:szCs w:val="24"/>
        </w:rPr>
        <w:t>iên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2022- 2023</w:t>
      </w:r>
      <w:r w:rsidRPr="00C32B0F">
        <w:rPr>
          <w:rFonts w:ascii="Times New Roman" w:hAnsi="Times New Roman" w:cs="Times New Roman"/>
          <w:sz w:val="24"/>
          <w:szCs w:val="24"/>
        </w:rPr>
        <w:t>:</w:t>
      </w:r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D</w:t>
      </w:r>
      <w:r w:rsidR="005538C3" w:rsidRPr="00C32B0F">
        <w:rPr>
          <w:rFonts w:ascii="Times New Roman" w:hAnsi="Times New Roman" w:cs="Times New Roman"/>
          <w:sz w:val="24"/>
          <w:szCs w:val="24"/>
        </w:rPr>
        <w:t>oanh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thuần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C3" w:rsidRPr="00C32B0F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5538C3" w:rsidRPr="00C32B0F">
        <w:rPr>
          <w:rFonts w:ascii="Times New Roman" w:hAnsi="Times New Roman" w:cs="Times New Roman"/>
          <w:sz w:val="24"/>
          <w:szCs w:val="24"/>
        </w:rPr>
        <w:t xml:space="preserve"> </w:t>
      </w:r>
      <w:r w:rsidRPr="00C32B0F">
        <w:rPr>
          <w:rFonts w:ascii="Times New Roman" w:hAnsi="Times New Roman" w:cs="Times New Roman"/>
          <w:sz w:val="24"/>
          <w:szCs w:val="24"/>
        </w:rPr>
        <w:t xml:space="preserve">802,3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188,7% so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2021-2022,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gấp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2022-2023</w:t>
      </w:r>
    </w:p>
    <w:p w14:paraId="14544532" w14:textId="54C68C6B" w:rsidR="004C62A0" w:rsidRPr="00C32B0F" w:rsidRDefault="004C62A0" w:rsidP="004C62A0">
      <w:pPr>
        <w:pStyle w:val="ListParagraph"/>
        <w:numPr>
          <w:ilvl w:val="0"/>
          <w:numId w:val="5"/>
        </w:numPr>
        <w:spacing w:before="120" w:after="120" w:line="300" w:lineRule="exact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giữa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ty;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ty,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ty con,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ty do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soát</w:t>
      </w:r>
      <w:proofErr w:type="spellEnd"/>
    </w:p>
    <w:p w14:paraId="3A032C3B" w14:textId="645FF46C" w:rsidR="004C62A0" w:rsidRPr="00C32B0F" w:rsidRDefault="004C62A0" w:rsidP="00FF71D0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dõi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ty;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con,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do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>.</w:t>
      </w:r>
    </w:p>
    <w:p w14:paraId="76C87F6F" w14:textId="17882F12" w:rsidR="004C62A0" w:rsidRPr="00C32B0F" w:rsidRDefault="004C62A0" w:rsidP="004C62A0">
      <w:pPr>
        <w:pStyle w:val="ListParagraph"/>
        <w:numPr>
          <w:ilvl w:val="0"/>
          <w:numId w:val="5"/>
        </w:num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lastRenderedPageBreak/>
        <w:t>Kết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đánh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hệ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thống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soát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rủi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ro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ty</w:t>
      </w:r>
    </w:p>
    <w:p w14:paraId="0EFD6049" w14:textId="6BFC2616" w:rsidR="00101C72" w:rsidRPr="00C32B0F" w:rsidRDefault="004C62A0" w:rsidP="00101C72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t xml:space="preserve">UBKT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nhầm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>.</w:t>
      </w:r>
    </w:p>
    <w:p w14:paraId="268C1F1F" w14:textId="5D89CE8C" w:rsidR="00101C72" w:rsidRPr="00C32B0F" w:rsidRDefault="00101C72" w:rsidP="00101C72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rà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bộ</w:t>
      </w:r>
      <w:proofErr w:type="spellEnd"/>
    </w:p>
    <w:p w14:paraId="60667D0D" w14:textId="4B4DCD95" w:rsidR="004C62A0" w:rsidRPr="00C32B0F" w:rsidRDefault="00101C72" w:rsidP="00101C72">
      <w:pPr>
        <w:pStyle w:val="ListParagraph"/>
        <w:numPr>
          <w:ilvl w:val="0"/>
          <w:numId w:val="5"/>
        </w:num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sát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HĐQT,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đốc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khác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ty</w:t>
      </w:r>
    </w:p>
    <w:p w14:paraId="32D42CBE" w14:textId="18535372" w:rsidR="00101C72" w:rsidRPr="00C32B0F" w:rsidRDefault="00101C72" w:rsidP="00101C72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i/>
          <w:iCs/>
          <w:sz w:val="24"/>
          <w:szCs w:val="24"/>
        </w:rPr>
        <w:t>cuộc</w:t>
      </w:r>
      <w:proofErr w:type="spellEnd"/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i/>
          <w:iCs/>
          <w:sz w:val="24"/>
          <w:szCs w:val="24"/>
        </w:rPr>
        <w:t>họp</w:t>
      </w:r>
      <w:proofErr w:type="spellEnd"/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HĐQT:</w:t>
      </w:r>
    </w:p>
    <w:p w14:paraId="58737D94" w14:textId="13E2AACE" w:rsidR="00BD02BB" w:rsidRPr="00C32B0F" w:rsidRDefault="00101C72" w:rsidP="00FF71D0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HĐQT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HĐQT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ty</w:t>
      </w:r>
      <w:r w:rsidR="00BD02BB" w:rsidRPr="00C32B0F">
        <w:rPr>
          <w:rFonts w:ascii="Times New Roman" w:hAnsi="Times New Roman" w:cs="Times New Roman"/>
          <w:sz w:val="24"/>
          <w:szCs w:val="24"/>
        </w:rPr>
        <w:t>;</w:t>
      </w:r>
    </w:p>
    <w:p w14:paraId="5239DAF6" w14:textId="4B13254B" w:rsidR="00817135" w:rsidRPr="00C32B0F" w:rsidRDefault="00817135" w:rsidP="00817135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t xml:space="preserve">HĐQT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CA3639" w:rsidRPr="00C32B0F">
        <w:rPr>
          <w:rFonts w:ascii="Times New Roman" w:hAnsi="Times New Roman" w:cs="Times New Roman"/>
          <w:sz w:val="24"/>
          <w:szCs w:val="24"/>
        </w:rPr>
        <w:t>.</w:t>
      </w:r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80" w:rsidRPr="00C32B0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41591A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1A" w:rsidRPr="00C32B0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35680" w:rsidRPr="00C32B0F">
        <w:rPr>
          <w:rFonts w:ascii="Times New Roman" w:hAnsi="Times New Roman" w:cs="Times New Roman"/>
          <w:sz w:val="24"/>
          <w:szCs w:val="24"/>
        </w:rPr>
        <w:t>.</w:t>
      </w:r>
      <w:r w:rsidR="00CA3639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 w:rsidRPr="00C32B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0" w:rsidRPr="00C32B0F">
        <w:rPr>
          <w:rFonts w:ascii="Times New Roman" w:hAnsi="Times New Roman" w:cs="Times New Roman"/>
          <w:sz w:val="24"/>
          <w:szCs w:val="24"/>
        </w:rPr>
        <w:t>N</w:t>
      </w:r>
      <w:r w:rsidRPr="00C32B0F">
        <w:rPr>
          <w:rFonts w:ascii="Times New Roman" w:hAnsi="Times New Roman" w:cs="Times New Roman"/>
          <w:sz w:val="24"/>
          <w:szCs w:val="24"/>
        </w:rPr>
        <w:t>ghị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 w:rsidRPr="00C32B0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979CF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 w:rsidRPr="00C32B0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3979CF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 w:rsidRPr="00C32B0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3979CF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 w:rsidRPr="00C32B0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3979CF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979CF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 w:rsidRPr="00C32B0F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="003979CF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 w:rsidRPr="00C32B0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>.</w:t>
      </w:r>
    </w:p>
    <w:p w14:paraId="17D5CA88" w14:textId="78AA9C86" w:rsidR="003C0C09" w:rsidRPr="00C32B0F" w:rsidRDefault="003C0C09" w:rsidP="00FF71D0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t xml:space="preserve">HĐQT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5"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</w:t>
      </w:r>
      <w:r w:rsidR="00016721" w:rsidRPr="00C32B0F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20</w:t>
      </w:r>
      <w:r w:rsidR="003979CF" w:rsidRPr="00C32B0F">
        <w:rPr>
          <w:rFonts w:ascii="Times New Roman" w:hAnsi="Times New Roman" w:cs="Times New Roman"/>
          <w:sz w:val="24"/>
          <w:szCs w:val="24"/>
        </w:rPr>
        <w:t>2</w:t>
      </w:r>
      <w:r w:rsidR="00101C72" w:rsidRPr="00C32B0F">
        <w:rPr>
          <w:rFonts w:ascii="Times New Roman" w:hAnsi="Times New Roman" w:cs="Times New Roman"/>
          <w:sz w:val="24"/>
          <w:szCs w:val="24"/>
        </w:rPr>
        <w:t>2</w:t>
      </w:r>
      <w:r w:rsidR="00310327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27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10327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72" w:rsidRPr="00C32B0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101C72" w:rsidRPr="00C32B0F">
        <w:rPr>
          <w:rFonts w:ascii="Times New Roman" w:hAnsi="Times New Roman" w:cs="Times New Roman"/>
          <w:sz w:val="24"/>
          <w:szCs w:val="24"/>
        </w:rPr>
        <w:t xml:space="preserve"> </w:t>
      </w:r>
      <w:r w:rsidR="00310327" w:rsidRPr="00C32B0F">
        <w:rPr>
          <w:rFonts w:ascii="Times New Roman" w:hAnsi="Times New Roman" w:cs="Times New Roman"/>
          <w:sz w:val="24"/>
          <w:szCs w:val="24"/>
        </w:rPr>
        <w:t>ĐH</w:t>
      </w:r>
      <w:r w:rsidR="00101C72" w:rsidRPr="00C32B0F">
        <w:rPr>
          <w:rFonts w:ascii="Times New Roman" w:hAnsi="Times New Roman" w:cs="Times New Roman"/>
          <w:sz w:val="24"/>
          <w:szCs w:val="24"/>
        </w:rPr>
        <w:t>Đ</w:t>
      </w:r>
      <w:r w:rsidR="00310327" w:rsidRPr="00C32B0F">
        <w:rPr>
          <w:rFonts w:ascii="Times New Roman" w:hAnsi="Times New Roman" w:cs="Times New Roman"/>
          <w:sz w:val="24"/>
          <w:szCs w:val="24"/>
        </w:rPr>
        <w:t xml:space="preserve">CĐ </w:t>
      </w:r>
      <w:proofErr w:type="spellStart"/>
      <w:r w:rsidR="00310327" w:rsidRPr="00C32B0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310327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27" w:rsidRPr="00C32B0F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310327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27" w:rsidRPr="00C32B0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10327" w:rsidRPr="00C32B0F">
        <w:rPr>
          <w:rFonts w:ascii="Times New Roman" w:hAnsi="Times New Roman" w:cs="Times New Roman"/>
          <w:sz w:val="24"/>
          <w:szCs w:val="24"/>
        </w:rPr>
        <w:t xml:space="preserve"> 202</w:t>
      </w:r>
      <w:r w:rsidR="00101C72" w:rsidRPr="00C32B0F">
        <w:rPr>
          <w:rFonts w:ascii="Times New Roman" w:hAnsi="Times New Roman" w:cs="Times New Roman"/>
          <w:sz w:val="24"/>
          <w:szCs w:val="24"/>
        </w:rPr>
        <w:t>2</w:t>
      </w:r>
      <w:r w:rsidRPr="00C32B0F">
        <w:rPr>
          <w:rFonts w:ascii="Times New Roman" w:hAnsi="Times New Roman" w:cs="Times New Roman"/>
          <w:sz w:val="24"/>
          <w:szCs w:val="24"/>
        </w:rPr>
        <w:t>.</w:t>
      </w:r>
      <w:r w:rsidR="00310327" w:rsidRPr="00C32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A0D8A" w14:textId="0FDB0BBA" w:rsidR="00BD02BB" w:rsidRPr="00FF71D0" w:rsidRDefault="00817135" w:rsidP="00FF71D0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r w:rsidR="00BD02BB" w:rsidRPr="00C32B0F">
        <w:rPr>
          <w:rFonts w:ascii="Times New Roman" w:hAnsi="Times New Roman" w:cs="Times New Roman"/>
          <w:sz w:val="24"/>
          <w:szCs w:val="24"/>
        </w:rPr>
        <w:t xml:space="preserve">HĐQT </w:t>
      </w:r>
      <w:proofErr w:type="spellStart"/>
      <w:r w:rsidR="006C0BE0"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C0BE0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thắn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BD02BB"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C32B0F">
        <w:rPr>
          <w:rFonts w:ascii="Times New Roman" w:hAnsi="Times New Roman" w:cs="Times New Roman"/>
          <w:sz w:val="24"/>
          <w:szCs w:val="24"/>
        </w:rPr>
        <w:t>h</w:t>
      </w:r>
      <w:r w:rsidR="00BD02BB" w:rsidRPr="00FF71D0">
        <w:rPr>
          <w:rFonts w:ascii="Times New Roman" w:hAnsi="Times New Roman" w:cs="Times New Roman"/>
          <w:sz w:val="24"/>
          <w:szCs w:val="24"/>
        </w:rPr>
        <w:t>iện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397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C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97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BB" w:rsidRPr="00FF71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</w:t>
      </w:r>
      <w:r w:rsidR="00310327">
        <w:rPr>
          <w:rFonts w:ascii="Times New Roman" w:hAnsi="Times New Roman" w:cs="Times New Roman"/>
          <w:sz w:val="24"/>
          <w:szCs w:val="24"/>
        </w:rPr>
        <w:t>.</w:t>
      </w:r>
      <w:r w:rsidR="00BD02BB" w:rsidRPr="00FF7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2F961" w14:textId="2824D7A0" w:rsidR="00FE3B13" w:rsidRPr="00C32B0F" w:rsidRDefault="00101C72" w:rsidP="00101C72">
      <w:pPr>
        <w:pStyle w:val="ListParagraph"/>
        <w:spacing w:before="120" w:after="120" w:line="300" w:lineRule="exact"/>
        <w:ind w:left="426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E3B13" w:rsidRPr="00C32B0F">
        <w:rPr>
          <w:rFonts w:ascii="Times New Roman" w:hAnsi="Times New Roman" w:cs="Times New Roman"/>
          <w:i/>
          <w:iCs/>
          <w:sz w:val="24"/>
          <w:szCs w:val="24"/>
        </w:rPr>
        <w:t>oạt</w:t>
      </w:r>
      <w:proofErr w:type="spellEnd"/>
      <w:r w:rsidR="00FE3B13"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i/>
          <w:iCs/>
          <w:sz w:val="24"/>
          <w:szCs w:val="24"/>
        </w:rPr>
        <w:t>động</w:t>
      </w:r>
      <w:proofErr w:type="spellEnd"/>
      <w:r w:rsidR="00FE3B13"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3B13" w:rsidRPr="00C32B0F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FE3B13"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Ban </w:t>
      </w:r>
      <w:proofErr w:type="spellStart"/>
      <w:r w:rsidR="00CA2D90" w:rsidRPr="00C32B0F">
        <w:rPr>
          <w:rFonts w:ascii="Times New Roman" w:hAnsi="Times New Roman" w:cs="Times New Roman"/>
          <w:i/>
          <w:iCs/>
          <w:sz w:val="24"/>
          <w:szCs w:val="24"/>
        </w:rPr>
        <w:t>Tổng</w:t>
      </w:r>
      <w:proofErr w:type="spellEnd"/>
      <w:r w:rsidR="00CA2D90"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2D90" w:rsidRPr="00C32B0F">
        <w:rPr>
          <w:rFonts w:ascii="Times New Roman" w:hAnsi="Times New Roman" w:cs="Times New Roman"/>
          <w:i/>
          <w:iCs/>
          <w:sz w:val="24"/>
          <w:szCs w:val="24"/>
        </w:rPr>
        <w:t>Giám</w:t>
      </w:r>
      <w:proofErr w:type="spellEnd"/>
      <w:r w:rsidR="00CA2D90" w:rsidRPr="00C32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2D90" w:rsidRPr="00C32B0F">
        <w:rPr>
          <w:rFonts w:ascii="Times New Roman" w:hAnsi="Times New Roman" w:cs="Times New Roman"/>
          <w:i/>
          <w:iCs/>
          <w:sz w:val="24"/>
          <w:szCs w:val="24"/>
        </w:rPr>
        <w:t>đốc</w:t>
      </w:r>
      <w:proofErr w:type="spellEnd"/>
    </w:p>
    <w:p w14:paraId="66E9F266" w14:textId="514D0AE3" w:rsidR="009A214F" w:rsidRDefault="000B7FC6" w:rsidP="00FF71D0">
      <w:pPr>
        <w:pStyle w:val="ListParagraph"/>
        <w:spacing w:before="120" w:after="120" w:line="300" w:lineRule="exac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HĐQT. </w:t>
      </w:r>
      <w:r w:rsidR="00CA2D90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1D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F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2022-2023</w:t>
      </w:r>
      <w:r w:rsidR="00FF71D0">
        <w:rPr>
          <w:rFonts w:ascii="Times New Roman" w:hAnsi="Times New Roman" w:cs="Times New Roman"/>
          <w:sz w:val="24"/>
          <w:szCs w:val="24"/>
        </w:rPr>
        <w:t>.</w:t>
      </w:r>
    </w:p>
    <w:p w14:paraId="5FC664CA" w14:textId="46A2B494" w:rsidR="00C32B0F" w:rsidRDefault="00C32B0F" w:rsidP="00C32B0F">
      <w:pPr>
        <w:pStyle w:val="ListParagraph"/>
        <w:numPr>
          <w:ilvl w:val="0"/>
          <w:numId w:val="5"/>
        </w:num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đánh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phối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giữa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UBKT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HĐQT,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đốc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C3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b/>
          <w:bCs/>
          <w:sz w:val="24"/>
          <w:szCs w:val="24"/>
        </w:rPr>
        <w:t>đông</w:t>
      </w:r>
      <w:proofErr w:type="spellEnd"/>
    </w:p>
    <w:p w14:paraId="0B7C601F" w14:textId="7A7D22E1" w:rsidR="00C32B0F" w:rsidRPr="00C32B0F" w:rsidRDefault="00C32B0F" w:rsidP="00C32B0F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B0F">
        <w:rPr>
          <w:rFonts w:ascii="Times New Roman" w:hAnsi="Times New Roman" w:cs="Times New Roman"/>
          <w:sz w:val="24"/>
          <w:szCs w:val="24"/>
        </w:rPr>
        <w:t xml:space="preserve">UBKT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HĐQT,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Quy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2B0F">
        <w:rPr>
          <w:rFonts w:ascii="Times New Roman" w:hAnsi="Times New Roman" w:cs="Times New Roman"/>
          <w:sz w:val="24"/>
          <w:szCs w:val="24"/>
        </w:rPr>
        <w:t xml:space="preserve"> UBKT</w:t>
      </w:r>
    </w:p>
    <w:p w14:paraId="352F44E8" w14:textId="2F5D8336" w:rsidR="00FE3B13" w:rsidRPr="00C32B0F" w:rsidRDefault="00FE3B13" w:rsidP="00C32B0F">
      <w:pPr>
        <w:pStyle w:val="ListParagraph"/>
        <w:numPr>
          <w:ilvl w:val="0"/>
          <w:numId w:val="4"/>
        </w:num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B0F">
        <w:rPr>
          <w:rFonts w:ascii="Times New Roman" w:hAnsi="Times New Roman" w:cs="Times New Roman"/>
          <w:b/>
          <w:bCs/>
          <w:sz w:val="24"/>
          <w:szCs w:val="24"/>
        </w:rPr>
        <w:t>KẾT LUẬN</w:t>
      </w:r>
    </w:p>
    <w:p w14:paraId="5D5F3D80" w14:textId="0894292E" w:rsidR="00FE3B13" w:rsidRDefault="00FE3B13" w:rsidP="00C32B0F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Thông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A3639">
        <w:rPr>
          <w:rFonts w:ascii="Times New Roman" w:hAnsi="Times New Roman" w:cs="Times New Roman"/>
          <w:sz w:val="24"/>
          <w:szCs w:val="24"/>
        </w:rPr>
        <w:t>2</w:t>
      </w:r>
      <w:r w:rsidR="00CA2D90">
        <w:rPr>
          <w:rFonts w:ascii="Times New Roman" w:hAnsi="Times New Roman" w:cs="Times New Roman"/>
          <w:sz w:val="24"/>
          <w:szCs w:val="24"/>
        </w:rPr>
        <w:t xml:space="preserve">2, UBKT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HĐQT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ty.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6C0BE0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QT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 TGĐ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HĐQT,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C2D737" w14:textId="2537351A" w:rsidR="00FE3B13" w:rsidRDefault="00FE3B13" w:rsidP="00C32B0F">
      <w:pPr>
        <w:spacing w:before="120"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HĐQT, Ban TGĐ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3A8DB6" w14:textId="68623174" w:rsidR="00FE3B13" w:rsidRDefault="00FE3B13" w:rsidP="00C32B0F">
      <w:pPr>
        <w:spacing w:before="120" w:after="120"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9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CA2D90">
        <w:rPr>
          <w:rFonts w:ascii="Times New Roman" w:hAnsi="Times New Roman" w:cs="Times New Roman"/>
          <w:sz w:val="24"/>
          <w:szCs w:val="24"/>
        </w:rPr>
        <w:t xml:space="preserve"> qua</w:t>
      </w:r>
      <w:r w:rsid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0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0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0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C3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0F"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>./.</w:t>
      </w:r>
    </w:p>
    <w:p w14:paraId="27BC0BFD" w14:textId="510C1576" w:rsidR="00C32B0F" w:rsidRPr="00C32B0F" w:rsidRDefault="00C32B0F" w:rsidP="00C32B0F">
      <w:pPr>
        <w:spacing w:before="120" w:after="120" w:line="300" w:lineRule="exact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B0F">
        <w:rPr>
          <w:rFonts w:ascii="Times New Roman" w:hAnsi="Times New Roman" w:cs="Times New Roman"/>
          <w:b/>
          <w:bCs/>
          <w:sz w:val="24"/>
          <w:szCs w:val="24"/>
        </w:rPr>
        <w:t>THÀNH VIÊN ĐỘC LẬP HĐQT</w:t>
      </w:r>
    </w:p>
    <w:p w14:paraId="396C53E5" w14:textId="77777777" w:rsidR="00C32B0F" w:rsidRDefault="00C32B0F" w:rsidP="00C32B0F">
      <w:pPr>
        <w:spacing w:before="120" w:after="120" w:line="300" w:lineRule="exact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AF51F" w14:textId="77777777" w:rsidR="00C32B0F" w:rsidRPr="00C32B0F" w:rsidRDefault="00C32B0F" w:rsidP="00C32B0F">
      <w:pPr>
        <w:spacing w:before="120" w:after="120" w:line="300" w:lineRule="exact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A1A45" w14:textId="77777777" w:rsidR="00C32B0F" w:rsidRPr="00C32B0F" w:rsidRDefault="00C32B0F" w:rsidP="00C32B0F">
      <w:pPr>
        <w:spacing w:before="120" w:after="120" w:line="300" w:lineRule="exact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145BD" w14:textId="27F64E6E" w:rsidR="00C32B0F" w:rsidRPr="00C32B0F" w:rsidRDefault="00C32B0F" w:rsidP="00C32B0F">
      <w:pPr>
        <w:spacing w:before="120" w:after="120" w:line="300" w:lineRule="exact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B0F">
        <w:rPr>
          <w:rFonts w:ascii="Times New Roman" w:hAnsi="Times New Roman" w:cs="Times New Roman"/>
          <w:b/>
          <w:bCs/>
          <w:sz w:val="24"/>
          <w:szCs w:val="24"/>
        </w:rPr>
        <w:t>CHỦ TỊCH UBKT</w:t>
      </w:r>
    </w:p>
    <w:p w14:paraId="3573F6CC" w14:textId="376DD077" w:rsidR="00C32B0F" w:rsidRPr="00C32B0F" w:rsidRDefault="00C32B0F" w:rsidP="00C32B0F">
      <w:pPr>
        <w:spacing w:before="120" w:after="120" w:line="300" w:lineRule="exact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B0F">
        <w:rPr>
          <w:rFonts w:ascii="Times New Roman" w:hAnsi="Times New Roman" w:cs="Times New Roman"/>
          <w:b/>
          <w:bCs/>
          <w:sz w:val="24"/>
          <w:szCs w:val="24"/>
        </w:rPr>
        <w:t>ĐỖ THỊ MAI</w:t>
      </w:r>
    </w:p>
    <w:p w14:paraId="2BEAABA2" w14:textId="2DB00AC0" w:rsidR="00FE3B13" w:rsidRDefault="00FE3B13" w:rsidP="006C0BE0">
      <w:pPr>
        <w:spacing w:before="120" w:after="120" w:line="300" w:lineRule="exact"/>
        <w:ind w:left="5760" w:firstLine="720"/>
        <w:rPr>
          <w:rFonts w:ascii="Times New Roman" w:hAnsi="Times New Roman" w:cs="Times New Roman"/>
          <w:sz w:val="24"/>
          <w:szCs w:val="24"/>
        </w:rPr>
      </w:pPr>
    </w:p>
    <w:sectPr w:rsidR="00FE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A2"/>
    <w:multiLevelType w:val="hybridMultilevel"/>
    <w:tmpl w:val="7E5889E4"/>
    <w:lvl w:ilvl="0" w:tplc="A9D6F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7400"/>
    <w:multiLevelType w:val="multilevel"/>
    <w:tmpl w:val="D0A6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8D2444B"/>
    <w:multiLevelType w:val="hybridMultilevel"/>
    <w:tmpl w:val="360A66EC"/>
    <w:lvl w:ilvl="0" w:tplc="C02CD0BC">
      <w:start w:val="5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C12"/>
    <w:multiLevelType w:val="hybridMultilevel"/>
    <w:tmpl w:val="D9FA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50503"/>
    <w:multiLevelType w:val="hybridMultilevel"/>
    <w:tmpl w:val="DF6A8A60"/>
    <w:lvl w:ilvl="0" w:tplc="EC5C2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6689">
    <w:abstractNumId w:val="4"/>
  </w:num>
  <w:num w:numId="2" w16cid:durableId="1540777459">
    <w:abstractNumId w:val="1"/>
  </w:num>
  <w:num w:numId="3" w16cid:durableId="1699239938">
    <w:abstractNumId w:val="2"/>
  </w:num>
  <w:num w:numId="4" w16cid:durableId="1365666684">
    <w:abstractNumId w:val="0"/>
  </w:num>
  <w:num w:numId="5" w16cid:durableId="266236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95"/>
    <w:rsid w:val="00016721"/>
    <w:rsid w:val="00035680"/>
    <w:rsid w:val="00071CFD"/>
    <w:rsid w:val="00087607"/>
    <w:rsid w:val="00096E6F"/>
    <w:rsid w:val="000B7FC6"/>
    <w:rsid w:val="00101C72"/>
    <w:rsid w:val="00144D83"/>
    <w:rsid w:val="001468A2"/>
    <w:rsid w:val="001512E4"/>
    <w:rsid w:val="00157727"/>
    <w:rsid w:val="00306721"/>
    <w:rsid w:val="00310327"/>
    <w:rsid w:val="00322347"/>
    <w:rsid w:val="003979CF"/>
    <w:rsid w:val="003C0C09"/>
    <w:rsid w:val="0041591A"/>
    <w:rsid w:val="004256B4"/>
    <w:rsid w:val="004A5337"/>
    <w:rsid w:val="004C62A0"/>
    <w:rsid w:val="004E0782"/>
    <w:rsid w:val="00510D33"/>
    <w:rsid w:val="005538C3"/>
    <w:rsid w:val="00561DFE"/>
    <w:rsid w:val="00593028"/>
    <w:rsid w:val="00611443"/>
    <w:rsid w:val="006A12A4"/>
    <w:rsid w:val="006C0BE0"/>
    <w:rsid w:val="006C3B15"/>
    <w:rsid w:val="007C2595"/>
    <w:rsid w:val="00800328"/>
    <w:rsid w:val="00806BA3"/>
    <w:rsid w:val="00817135"/>
    <w:rsid w:val="00831F58"/>
    <w:rsid w:val="008E5CC2"/>
    <w:rsid w:val="008F1A2E"/>
    <w:rsid w:val="00954C7D"/>
    <w:rsid w:val="00970D8B"/>
    <w:rsid w:val="009A214F"/>
    <w:rsid w:val="009D1D89"/>
    <w:rsid w:val="00A40333"/>
    <w:rsid w:val="00AE7981"/>
    <w:rsid w:val="00B626EF"/>
    <w:rsid w:val="00BD02BB"/>
    <w:rsid w:val="00BE2622"/>
    <w:rsid w:val="00C15F79"/>
    <w:rsid w:val="00C32B0F"/>
    <w:rsid w:val="00CA2D90"/>
    <w:rsid w:val="00CA3639"/>
    <w:rsid w:val="00CF3D27"/>
    <w:rsid w:val="00DC66D7"/>
    <w:rsid w:val="00E2556A"/>
    <w:rsid w:val="00F20B81"/>
    <w:rsid w:val="00F41C7D"/>
    <w:rsid w:val="00F84A4C"/>
    <w:rsid w:val="00FE3B13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A33E"/>
  <w15:chartTrackingRefBased/>
  <w15:docId w15:val="{890339B2-018F-4306-983B-69A6577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C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22347"/>
  </w:style>
  <w:style w:type="character" w:customStyle="1" w:styleId="eop">
    <w:name w:val="eop"/>
    <w:basedOn w:val="DefaultParagraphFont"/>
    <w:rsid w:val="00322347"/>
  </w:style>
  <w:style w:type="paragraph" w:customStyle="1" w:styleId="paragraph">
    <w:name w:val="paragraph"/>
    <w:basedOn w:val="Normal"/>
    <w:rsid w:val="0032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2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7B0D4A-BF32-48ED-AAF8-301D44DE2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2D087-7624-4DF8-93F3-7135C0FEC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BF7AB-009B-4DB6-8339-8B7B101F51F7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 Nguyễn Thị Xuân</dc:creator>
  <cp:keywords/>
  <dc:description/>
  <cp:lastModifiedBy>Mai Do</cp:lastModifiedBy>
  <cp:revision>9</cp:revision>
  <dcterms:created xsi:type="dcterms:W3CDTF">2022-05-11T03:27:00Z</dcterms:created>
  <dcterms:modified xsi:type="dcterms:W3CDTF">2023-06-25T09:47:00Z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